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0"/>
        <w:spacing w:after="0"/>
        <w:rPr>
          <w:sz w:val="20"/>
          <w:szCs w:val="20"/>
          <w:color w:val="auto"/>
        </w:rPr>
      </w:pPr>
      <w:r>
        <w:rPr>
          <w:rFonts w:ascii="Courier New" w:cs="Courier New" w:eastAsia="Courier New" w:hAnsi="Courier New"/>
          <w:sz w:val="15"/>
          <w:szCs w:val="15"/>
          <w:color w:val="auto"/>
        </w:rPr>
        <w:t>1</w:t>
      </w:r>
    </w:p>
    <w:p>
      <w:pPr>
        <w:ind w:left="2020"/>
        <w:spacing w:after="0" w:line="237" w:lineRule="auto"/>
        <w:rPr>
          <w:sz w:val="20"/>
          <w:szCs w:val="20"/>
          <w:color w:val="auto"/>
        </w:rPr>
      </w:pPr>
      <w:r>
        <w:rPr>
          <w:rFonts w:ascii="Courier New" w:cs="Courier New" w:eastAsia="Courier New" w:hAnsi="Courier New"/>
          <w:sz w:val="15"/>
          <w:szCs w:val="15"/>
          <w:color w:val="auto"/>
        </w:rPr>
        <w:t>SECURITIES AND EXCHANGE COMMISSION</w:t>
      </w:r>
    </w:p>
    <w:p>
      <w:pPr>
        <w:ind w:left="2460"/>
        <w:spacing w:after="0"/>
        <w:tabs>
          <w:tab w:leader="none" w:pos="4020" w:val="left"/>
        </w:tabs>
        <w:rPr>
          <w:sz w:val="20"/>
          <w:szCs w:val="20"/>
          <w:color w:val="auto"/>
        </w:rPr>
      </w:pPr>
      <w:r>
        <w:rPr>
          <w:rFonts w:ascii="Courier New" w:cs="Courier New" w:eastAsia="Courier New" w:hAnsi="Courier New"/>
          <w:sz w:val="15"/>
          <w:szCs w:val="15"/>
          <w:color w:val="auto"/>
        </w:rPr>
        <w:t>Washington, D.C.</w:t>
      </w:r>
      <w:r>
        <w:rPr>
          <w:sz w:val="20"/>
          <w:szCs w:val="20"/>
          <w:color w:val="auto"/>
        </w:rPr>
        <w:tab/>
      </w:r>
      <w:r>
        <w:rPr>
          <w:rFonts w:ascii="Courier New" w:cs="Courier New" w:eastAsia="Courier New" w:hAnsi="Courier New"/>
          <w:sz w:val="14"/>
          <w:szCs w:val="14"/>
          <w:color w:val="auto"/>
        </w:rPr>
        <w:t>20549</w:t>
      </w:r>
    </w:p>
    <w:p>
      <w:pPr>
        <w:spacing w:after="0" w:line="167" w:lineRule="exact"/>
        <w:rPr>
          <w:sz w:val="24"/>
          <w:szCs w:val="24"/>
          <w:color w:val="auto"/>
        </w:rPr>
      </w:pPr>
    </w:p>
    <w:p>
      <w:pPr>
        <w:ind w:left="3080"/>
        <w:spacing w:after="0"/>
        <w:rPr>
          <w:sz w:val="20"/>
          <w:szCs w:val="20"/>
          <w:color w:val="auto"/>
        </w:rPr>
      </w:pPr>
      <w:r>
        <w:rPr>
          <w:rFonts w:ascii="Courier New" w:cs="Courier New" w:eastAsia="Courier New" w:hAnsi="Courier New"/>
          <w:sz w:val="15"/>
          <w:szCs w:val="15"/>
          <w:color w:val="auto"/>
        </w:rPr>
        <w:t>FORM 10-K</w:t>
      </w:r>
    </w:p>
    <w:p>
      <w:pPr>
        <w:spacing w:after="0" w:line="173" w:lineRule="exact"/>
        <w:rPr>
          <w:sz w:val="24"/>
          <w:szCs w:val="24"/>
          <w:color w:val="auto"/>
        </w:rPr>
      </w:pPr>
    </w:p>
    <w:p>
      <w:pPr>
        <w:ind w:left="440" w:right="3499" w:hanging="430"/>
        <w:spacing w:after="0" w:line="234" w:lineRule="auto"/>
        <w:tabs>
          <w:tab w:leader="none" w:pos="44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PURSUANT TO SECTION 13 OR 15(d) OF THE SECURITIES EXCHANGE ACT OF 1934 FOR FISCAL YEAR ENDED DECEMBER 31, 1997.</w:t>
      </w:r>
    </w:p>
    <w:p>
      <w:pPr>
        <w:spacing w:after="0" w:line="173" w:lineRule="exact"/>
        <w:rPr>
          <w:sz w:val="24"/>
          <w:szCs w:val="24"/>
          <w:color w:val="auto"/>
        </w:rPr>
      </w:pPr>
    </w:p>
    <w:p>
      <w:pPr>
        <w:ind w:left="440" w:right="3939" w:hanging="430"/>
        <w:spacing w:after="0" w:line="234" w:lineRule="auto"/>
        <w:tabs>
          <w:tab w:leader="none" w:pos="17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TRANSITION REPORT PURSUANT TO SECTION 13 OR 15(d) OF THE SECURITIES EXCHANGE ACT OF 1934 (NO FEE REQUIRED)</w:t>
      </w:r>
    </w:p>
    <w:p>
      <w:pPr>
        <w:ind w:left="4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For the transition period from ________________  to ______________.</w:t>
      </w:r>
    </w:p>
    <w:p>
      <w:pPr>
        <w:sectPr>
          <w:pgSz w:w="11900" w:h="16838" w:orient="portrait"/>
          <w:cols w:equalWidth="0" w:num="1">
            <w:col w:w="10239"/>
          </w:cols>
          <w:pgMar w:left="220" w:top="225" w:right="1440" w:bottom="1440" w:gutter="0" w:footer="0" w:header="0"/>
        </w:sectPr>
      </w:pP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Commission File No.:</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0-10235</w:t>
      </w:r>
    </w:p>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4"/>
          <w:szCs w:val="24"/>
          <w:color w:val="auto"/>
        </w:rPr>
      </w:pPr>
    </w:p>
    <w:p>
      <w:pPr>
        <w:sectPr>
          <w:pgSz w:w="11900" w:h="16838" w:orient="portrait"/>
          <w:cols w:equalWidth="0" w:num="2">
            <w:col w:w="1760" w:space="340"/>
            <w:col w:w="8139"/>
          </w:cols>
          <w:pgMar w:left="220" w:top="225" w:right="1440" w:bottom="1440" w:gutter="0" w:footer="0" w:header="0"/>
          <w:type w:val="continuous"/>
        </w:sectPr>
      </w:pPr>
    </w:p>
    <w:p>
      <w:pPr>
        <w:jc w:val="center"/>
        <w:ind w:right="3239"/>
        <w:spacing w:after="0"/>
        <w:rPr>
          <w:sz w:val="20"/>
          <w:szCs w:val="20"/>
          <w:color w:val="auto"/>
        </w:rPr>
      </w:pPr>
      <w:r>
        <w:rPr>
          <w:rFonts w:ascii="Courier New" w:cs="Courier New" w:eastAsia="Courier New" w:hAnsi="Courier New"/>
          <w:sz w:val="15"/>
          <w:szCs w:val="15"/>
          <w:color w:val="auto"/>
        </w:rPr>
        <w:t>GENTEX CORPORATION</w:t>
      </w:r>
    </w:p>
    <w:p>
      <w:pPr>
        <w:spacing w:after="0" w:line="5"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39"/>
          </w:cols>
          <w:pgMar w:left="220" w:top="225" w:right="1440" w:bottom="1440" w:gutter="0" w:footer="0" w:header="0"/>
          <w:type w:val="continuous"/>
        </w:sectPr>
      </w:pPr>
    </w:p>
    <w:p>
      <w:pPr>
        <w:spacing w:after="0" w:line="340" w:lineRule="exact"/>
        <w:rPr>
          <w:sz w:val="24"/>
          <w:szCs w:val="24"/>
          <w:color w:val="auto"/>
        </w:rPr>
      </w:pPr>
    </w:p>
    <w:p>
      <w:pPr>
        <w:ind w:left="2200"/>
        <w:spacing w:after="0"/>
        <w:rPr>
          <w:sz w:val="20"/>
          <w:szCs w:val="20"/>
          <w:color w:val="auto"/>
        </w:rPr>
      </w:pPr>
      <w:r>
        <w:rPr>
          <w:rFonts w:ascii="Courier New" w:cs="Courier New" w:eastAsia="Courier New" w:hAnsi="Courier New"/>
          <w:sz w:val="15"/>
          <w:szCs w:val="15"/>
          <w:color w:val="auto"/>
        </w:rPr>
        <w:t>MICHIGAN</w:t>
      </w:r>
    </w:p>
    <w:p>
      <w:pPr>
        <w:spacing w:after="0" w:line="5" w:lineRule="exact"/>
        <w:rPr>
          <w:sz w:val="24"/>
          <w:szCs w:val="24"/>
          <w:color w:val="auto"/>
        </w:rPr>
      </w:pPr>
    </w:p>
    <w:p>
      <w:pPr>
        <w:ind w:left="1240"/>
        <w:spacing w:after="0"/>
        <w:rPr>
          <w:sz w:val="20"/>
          <w:szCs w:val="20"/>
          <w:color w:val="auto"/>
        </w:rPr>
      </w:pPr>
      <w:r>
        <w:rPr>
          <w:rFonts w:ascii="Courier New" w:cs="Courier New" w:eastAsia="Courier New" w:hAnsi="Courier New"/>
          <w:sz w:val="14"/>
          <w:szCs w:val="14"/>
          <w:color w:val="auto"/>
        </w:rPr>
        <w:t>(State or other jurisdiction of</w:t>
      </w:r>
    </w:p>
    <w:p>
      <w:pPr>
        <w:spacing w:after="0" w:line="10" w:lineRule="exact"/>
        <w:rPr>
          <w:sz w:val="24"/>
          <w:szCs w:val="24"/>
          <w:color w:val="auto"/>
        </w:rPr>
      </w:pPr>
    </w:p>
    <w:p>
      <w:pPr>
        <w:ind w:left="1240"/>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320"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38-2030505</w:t>
      </w:r>
    </w:p>
    <w:p>
      <w:pPr>
        <w:ind w:left="100"/>
        <w:spacing w:after="0" w:line="237" w:lineRule="auto"/>
        <w:rPr>
          <w:sz w:val="20"/>
          <w:szCs w:val="20"/>
          <w:color w:val="auto"/>
        </w:rPr>
      </w:pPr>
      <w:r>
        <w:rPr>
          <w:rFonts w:ascii="Courier New" w:cs="Courier New" w:eastAsia="Courier New" w:hAnsi="Courier New"/>
          <w:sz w:val="15"/>
          <w:szCs w:val="15"/>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200" w:lineRule="exact"/>
        <w:rPr>
          <w:sz w:val="24"/>
          <w:szCs w:val="24"/>
          <w:color w:val="auto"/>
        </w:rPr>
      </w:pPr>
    </w:p>
    <w:p>
      <w:pPr>
        <w:sectPr>
          <w:pgSz w:w="11900" w:h="16838" w:orient="portrait"/>
          <w:cols w:equalWidth="0" w:num="2">
            <w:col w:w="3940" w:space="700"/>
            <w:col w:w="5599"/>
          </w:cols>
          <w:pgMar w:left="220" w:top="225" w:right="1440" w:bottom="1440" w:gutter="0" w:footer="0" w:header="0"/>
          <w:type w:val="continuous"/>
        </w:sectPr>
      </w:pPr>
    </w:p>
    <w:p>
      <w:pPr>
        <w:spacing w:after="0" w:line="146" w:lineRule="exact"/>
        <w:rPr>
          <w:sz w:val="24"/>
          <w:szCs w:val="24"/>
          <w:color w:val="auto"/>
        </w:rPr>
      </w:pPr>
    </w:p>
    <w:p>
      <w:pPr>
        <w:ind w:left="440" w:right="60" w:hanging="86"/>
        <w:spacing w:after="0" w:line="261" w:lineRule="auto"/>
        <w:rPr>
          <w:sz w:val="20"/>
          <w:szCs w:val="20"/>
          <w:color w:val="auto"/>
        </w:rPr>
      </w:pPr>
      <w:r>
        <w:rPr>
          <w:rFonts w:ascii="Courier New" w:cs="Courier New" w:eastAsia="Courier New" w:hAnsi="Courier New"/>
          <w:sz w:val="14"/>
          <w:szCs w:val="14"/>
          <w:color w:val="auto"/>
        </w:rPr>
        <w:t>600 N. CENTENNIAL STREET, ZEELAND, MICHIGAN (Address of principal executive offices)</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ind w:left="280"/>
        <w:spacing w:after="0"/>
        <w:rPr>
          <w:sz w:val="20"/>
          <w:szCs w:val="20"/>
          <w:color w:val="auto"/>
        </w:rPr>
      </w:pPr>
      <w:r>
        <w:rPr>
          <w:rFonts w:ascii="Courier New" w:cs="Courier New" w:eastAsia="Courier New" w:hAnsi="Courier New"/>
          <w:sz w:val="15"/>
          <w:szCs w:val="15"/>
          <w:color w:val="auto"/>
        </w:rPr>
        <w:t>49464</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218" w:lineRule="exact"/>
        <w:rPr>
          <w:sz w:val="24"/>
          <w:szCs w:val="24"/>
          <w:color w:val="auto"/>
        </w:rPr>
      </w:pPr>
    </w:p>
    <w:p>
      <w:pPr>
        <w:sectPr>
          <w:pgSz w:w="11900" w:h="16838" w:orient="portrait"/>
          <w:cols w:equalWidth="0" w:num="2">
            <w:col w:w="4180" w:space="720"/>
            <w:col w:w="5339"/>
          </w:cols>
          <w:pgMar w:left="220" w:top="225" w:right="1440" w:bottom="1440" w:gutter="0" w:footer="0" w:header="0"/>
          <w:type w:val="continuous"/>
        </w:sectPr>
      </w:pPr>
    </w:p>
    <w:p>
      <w:pPr>
        <w:spacing w:after="0" w:line="128" w:lineRule="exact"/>
        <w:rPr>
          <w:sz w:val="24"/>
          <w:szCs w:val="24"/>
          <w:color w:val="auto"/>
        </w:rPr>
      </w:pPr>
    </w:p>
    <w:p>
      <w:pPr>
        <w:ind w:left="2900"/>
        <w:spacing w:after="0"/>
        <w:rPr>
          <w:sz w:val="20"/>
          <w:szCs w:val="20"/>
          <w:color w:val="auto"/>
        </w:rPr>
      </w:pPr>
      <w:r>
        <w:rPr>
          <w:rFonts w:ascii="Courier New" w:cs="Courier New" w:eastAsia="Courier New" w:hAnsi="Courier New"/>
          <w:sz w:val="14"/>
          <w:szCs w:val="14"/>
          <w:color w:val="auto"/>
        </w:rPr>
        <w:t>(616) 772-1800</w:t>
      </w:r>
    </w:p>
    <w:p>
      <w:pPr>
        <w:sectPr>
          <w:pgSz w:w="11900" w:h="16838" w:orient="portrait"/>
          <w:cols w:equalWidth="0" w:num="1">
            <w:col w:w="10239"/>
          </w:cols>
          <w:pgMar w:left="220" w:top="225" w:right="1440" w:bottom="1440" w:gutter="0" w:footer="0" w:header="0"/>
          <w:type w:val="continuous"/>
        </w:sectPr>
      </w:pPr>
    </w:p>
    <w:p>
      <w:pPr>
        <w:spacing w:after="0" w:line="10" w:lineRule="exact"/>
        <w:rPr>
          <w:sz w:val="24"/>
          <w:szCs w:val="24"/>
          <w:color w:val="auto"/>
        </w:rPr>
      </w:pPr>
    </w:p>
    <w:p>
      <w:pPr>
        <w:ind w:left="1240"/>
        <w:spacing w:after="0"/>
        <w:rPr>
          <w:sz w:val="20"/>
          <w:szCs w:val="20"/>
          <w:color w:val="auto"/>
        </w:rPr>
      </w:pPr>
      <w:r>
        <w:rPr>
          <w:rFonts w:ascii="Courier New" w:cs="Courier New" w:eastAsia="Courier New" w:hAnsi="Courier New"/>
          <w:sz w:val="14"/>
          <w:szCs w:val="14"/>
          <w:color w:val="auto"/>
        </w:rPr>
        <w:t>(Registrant's telephone number, including area code)</w:t>
      </w:r>
    </w:p>
    <w:p>
      <w:pPr>
        <w:spacing w:after="0" w:line="340"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Securities registered pursuant to Section 12(b) of the Act:</w:t>
      </w:r>
    </w:p>
    <w:p>
      <w:pPr>
        <w:sectPr>
          <w:pgSz w:w="11900" w:h="16838" w:orient="portrait"/>
          <w:cols w:equalWidth="0" w:num="1">
            <w:col w:w="10239"/>
          </w:cols>
          <w:pgMar w:left="220" w:top="225" w:right="1440" w:bottom="1440" w:gutter="0" w:footer="0" w:header="0"/>
          <w:type w:val="continuous"/>
        </w:sectPr>
      </w:pPr>
    </w:p>
    <w:p>
      <w:pPr>
        <w:spacing w:after="0" w:line="341"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Title of each Class</w:t>
      </w:r>
    </w:p>
    <w:p>
      <w:pPr>
        <w:spacing w:after="0" w:line="3" w:lineRule="exact"/>
        <w:rPr>
          <w:sz w:val="24"/>
          <w:szCs w:val="24"/>
          <w:color w:val="auto"/>
        </w:rPr>
      </w:pPr>
    </w:p>
    <w:p>
      <w:pPr>
        <w:ind w:left="800"/>
        <w:spacing w:after="0"/>
        <w:rPr>
          <w:sz w:val="20"/>
          <w:szCs w:val="20"/>
          <w:color w:val="auto"/>
        </w:rPr>
      </w:pPr>
      <w:r>
        <w:rPr>
          <w:rFonts w:ascii="Courier New" w:cs="Courier New" w:eastAsia="Courier New" w:hAnsi="Courier New"/>
          <w:sz w:val="15"/>
          <w:szCs w:val="15"/>
          <w:color w:val="auto"/>
        </w:rPr>
        <w:t>NONE</w:t>
      </w:r>
    </w:p>
    <w:p>
      <w:pPr>
        <w:spacing w:after="0" w:line="20" w:lineRule="exact"/>
        <w:rPr>
          <w:sz w:val="24"/>
          <w:szCs w:val="24"/>
          <w:color w:val="auto"/>
        </w:rPr>
      </w:pPr>
      <w:r>
        <w:rPr>
          <w:sz w:val="24"/>
          <w:szCs w:val="24"/>
          <w:color w:val="auto"/>
        </w:rPr>
        <w:br w:type="column"/>
      </w:r>
    </w:p>
    <w:p>
      <w:pPr>
        <w:spacing w:after="0" w:line="321" w:lineRule="exact"/>
        <w:rPr>
          <w:sz w:val="24"/>
          <w:szCs w:val="24"/>
          <w:color w:val="auto"/>
        </w:rPr>
      </w:pPr>
    </w:p>
    <w:p>
      <w:pPr>
        <w:ind w:left="160"/>
        <w:spacing w:after="0"/>
        <w:rPr>
          <w:sz w:val="20"/>
          <w:szCs w:val="20"/>
          <w:color w:val="auto"/>
        </w:rPr>
      </w:pPr>
      <w:r>
        <w:rPr>
          <w:rFonts w:ascii="Courier New" w:cs="Courier New" w:eastAsia="Courier New" w:hAnsi="Courier New"/>
          <w:sz w:val="14"/>
          <w:szCs w:val="14"/>
          <w:color w:val="auto"/>
        </w:rPr>
        <w:t>Name of each exchange on which registered</w:t>
      </w:r>
    </w:p>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4" w:lineRule="exact"/>
        <w:rPr>
          <w:sz w:val="24"/>
          <w:szCs w:val="24"/>
          <w:color w:val="auto"/>
        </w:rPr>
      </w:pPr>
    </w:p>
    <w:p>
      <w:pPr>
        <w:sectPr>
          <w:pgSz w:w="11900" w:h="16838" w:orient="portrait"/>
          <w:cols w:equalWidth="0" w:num="2">
            <w:col w:w="2360" w:space="720"/>
            <w:col w:w="7159"/>
          </w:cols>
          <w:pgMar w:left="220" w:top="225" w:right="1440" w:bottom="1440" w:gutter="0" w:footer="0" w:header="0"/>
          <w:type w:val="continuous"/>
        </w:sectPr>
      </w:pPr>
    </w:p>
    <w:p>
      <w:pPr>
        <w:spacing w:after="0" w:line="13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Securities registered pursuant to Section 12(g) of the Act:</w:t>
      </w:r>
    </w:p>
    <w:p>
      <w:pPr>
        <w:spacing w:after="0" w:line="166"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COMMON STOCK, PAR VALUE $.06 PER SHARE</w:t>
      </w:r>
    </w:p>
    <w:p>
      <w:pPr>
        <w:jc w:val="center"/>
        <w:ind w:right="3219"/>
        <w:spacing w:after="0" w:line="237" w:lineRule="auto"/>
        <w:rPr>
          <w:sz w:val="20"/>
          <w:szCs w:val="20"/>
          <w:color w:val="auto"/>
        </w:rPr>
      </w:pPr>
      <w:r>
        <w:rPr>
          <w:rFonts w:ascii="Courier New" w:cs="Courier New" w:eastAsia="Courier New" w:hAnsi="Courier New"/>
          <w:sz w:val="15"/>
          <w:szCs w:val="15"/>
          <w:color w:val="auto"/>
        </w:rPr>
        <w:t>(Title of Class)</w:t>
      </w:r>
    </w:p>
    <w:p>
      <w:pPr>
        <w:spacing w:after="0" w:line="342" w:lineRule="exact"/>
        <w:rPr>
          <w:sz w:val="24"/>
          <w:szCs w:val="24"/>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440"/>
        <w:spacing w:after="0"/>
        <w:tabs>
          <w:tab w:leader="none" w:pos="860" w:val="left"/>
          <w:tab w:leader="none" w:pos="1300" w:val="left"/>
        </w:tabs>
        <w:rPr>
          <w:sz w:val="20"/>
          <w:szCs w:val="20"/>
          <w:color w:val="auto"/>
        </w:rPr>
      </w:pPr>
      <w:r>
        <w:rPr>
          <w:rFonts w:ascii="Courier New" w:cs="Courier New" w:eastAsia="Courier New" w:hAnsi="Courier New"/>
          <w:sz w:val="15"/>
          <w:szCs w:val="15"/>
          <w:color w:val="auto"/>
        </w:rPr>
        <w:t>Yes</w:t>
        <w:tab/>
        <w:t>X</w:t>
      </w:r>
      <w:r>
        <w:rPr>
          <w:sz w:val="20"/>
          <w:szCs w:val="20"/>
          <w:color w:val="auto"/>
        </w:rPr>
        <w:tab/>
      </w:r>
      <w:r>
        <w:rPr>
          <w:rFonts w:ascii="Courier New" w:cs="Courier New" w:eastAsia="Courier New" w:hAnsi="Courier New"/>
          <w:sz w:val="14"/>
          <w:szCs w:val="14"/>
          <w:color w:val="auto"/>
        </w:rPr>
        <w:t>No:</w:t>
      </w:r>
    </w:p>
    <w:p>
      <w:pPr>
        <w:ind w:left="800"/>
        <w:spacing w:after="0" w:line="236" w:lineRule="auto"/>
        <w:tabs>
          <w:tab w:leader="none" w:pos="16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73" w:lineRule="exact"/>
        <w:rPr>
          <w:sz w:val="24"/>
          <w:szCs w:val="24"/>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 )</w:t>
      </w:r>
    </w:p>
    <w:p>
      <w:pPr>
        <w:spacing w:after="0" w:line="174" w:lineRule="exact"/>
        <w:rPr>
          <w:sz w:val="24"/>
          <w:szCs w:val="24"/>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As of March 1, 1998, 35,650,765 shares of the registrant's common stock, par value $.06 per share, were outstanding. The aggregate market value of the common stock held by non-affiliates of the registrant (i.e., excluding shares held by executive officers, directors, and control persons as defined in Rule 405, 17 CFR 203.405) on that date was $1,075,252,410 computed at the closing price on that date.</w:t>
      </w:r>
    </w:p>
    <w:p>
      <w:pPr>
        <w:spacing w:after="0" w:line="175" w:lineRule="exact"/>
        <w:rPr>
          <w:sz w:val="24"/>
          <w:szCs w:val="24"/>
          <w:color w:val="auto"/>
        </w:rPr>
      </w:pPr>
    </w:p>
    <w:p>
      <w:pPr>
        <w:ind w:right="3939"/>
        <w:spacing w:after="0" w:line="234" w:lineRule="auto"/>
        <w:rPr>
          <w:sz w:val="20"/>
          <w:szCs w:val="20"/>
          <w:color w:val="auto"/>
        </w:rPr>
      </w:pPr>
      <w:r>
        <w:rPr>
          <w:rFonts w:ascii="Courier New" w:cs="Courier New" w:eastAsia="Courier New" w:hAnsi="Courier New"/>
          <w:sz w:val="15"/>
          <w:szCs w:val="15"/>
          <w:color w:val="auto"/>
        </w:rPr>
        <w:t>Portions of the Company's Proxy Statement for its 1998 Annual Meeting of Shareholders are incorporated by reference into Part III.</w:t>
      </w:r>
    </w:p>
    <w:p>
      <w:pPr>
        <w:spacing w:after="0" w:line="167"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Exhibit Index located at Page 31</w:t>
      </w:r>
    </w:p>
    <w:p>
      <w:pPr>
        <w:spacing w:after="0" w:line="166" w:lineRule="exact"/>
        <w:rPr>
          <w:sz w:val="24"/>
          <w:szCs w:val="24"/>
          <w:color w:val="auto"/>
        </w:rPr>
      </w:pPr>
    </w:p>
    <w:p>
      <w:pPr>
        <w:ind w:left="2900"/>
        <w:spacing w:after="0"/>
        <w:tabs>
          <w:tab w:leader="none" w:pos="3840" w:val="left"/>
        </w:tabs>
        <w:rPr>
          <w:sz w:val="20"/>
          <w:szCs w:val="20"/>
          <w:color w:val="auto"/>
        </w:rPr>
      </w:pPr>
      <w:r>
        <w:rPr>
          <w:rFonts w:ascii="Courier New" w:cs="Courier New" w:eastAsia="Courier New" w:hAnsi="Courier New"/>
          <w:sz w:val="15"/>
          <w:szCs w:val="15"/>
          <w:color w:val="auto"/>
        </w:rPr>
        <w:t>Page 1 of</w:t>
        <w:tab/>
        <w:t>34</w:t>
      </w:r>
    </w:p>
    <w:p>
      <w:pPr>
        <w:sectPr>
          <w:pgSz w:w="11900" w:h="16838" w:orient="portrait"/>
          <w:cols w:equalWidth="0" w:num="1">
            <w:col w:w="10239"/>
          </w:cols>
          <w:pgMar w:left="220" w:top="225" w:right="1440" w:bottom="1440" w:gutter="0" w:footer="0" w:header="0"/>
          <w:type w:val="continuous"/>
        </w:sectPr>
      </w:pPr>
    </w:p>
    <w:bookmarkStart w:id="1" w:name="page2"/>
    <w:bookmarkEnd w:id="1"/>
    <w:p>
      <w:pPr>
        <w:ind w:left="280"/>
        <w:spacing w:after="0"/>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pacing w:after="0" w:line="309"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Statements in this Annual Report on Form 10-K which express "belief", "anticipation" or "expectation" as well as other statements which are not historical fact, are forward-looking statements and involve risks and uncertainties described below under the headings "Business" and "Management's Discussion and Analysis of Results of Operations and Financial Condition" that could cause actual results to differ materially from those projected. All forward-looking statements in this Annual Report are based on information available to the Company on the date hereof, and the Company assumes no obligation to update any such forward-looking statements.</w:t>
      </w:r>
    </w:p>
    <w:p>
      <w:pPr>
        <w:spacing w:after="0" w:line="200" w:lineRule="exact"/>
        <w:rPr>
          <w:sz w:val="20"/>
          <w:szCs w:val="20"/>
          <w:color w:val="auto"/>
        </w:rPr>
      </w:pPr>
    </w:p>
    <w:p>
      <w:pPr>
        <w:spacing w:after="0" w:line="29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PART I</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 BUSINESS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GENERAL DEVELOPMENT OF BUSINESS</w:t>
      </w:r>
    </w:p>
    <w:p>
      <w:pPr>
        <w:spacing w:after="0" w:line="173" w:lineRule="exact"/>
        <w:rPr>
          <w:sz w:val="20"/>
          <w:szCs w:val="20"/>
          <w:color w:val="auto"/>
        </w:rPr>
      </w:pPr>
    </w:p>
    <w:p>
      <w:pPr>
        <w:ind w:right="3579" w:firstLine="437"/>
        <w:spacing w:after="0" w:line="235" w:lineRule="auto"/>
        <w:rPr>
          <w:sz w:val="20"/>
          <w:szCs w:val="20"/>
          <w:color w:val="auto"/>
        </w:rPr>
      </w:pPr>
      <w:r>
        <w:rPr>
          <w:rFonts w:ascii="Courier New" w:cs="Courier New" w:eastAsia="Courier New" w:hAnsi="Courier New"/>
          <w:sz w:val="15"/>
          <w:szCs w:val="15"/>
          <w:color w:val="auto"/>
        </w:rPr>
        <w:t>Gentex Corporation (the "Company") designs, develops, manufactures and markets proprietary products employing electro-optic technology. These products consist primarily of two product lines: automatic-dimming rearview mirrors and fire protection products.</w:t>
      </w:r>
    </w:p>
    <w:p>
      <w:pPr>
        <w:spacing w:after="0" w:line="7"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The Company was organized in 1974 to manufacture residential smoke detectors, a product line that has since evolved into a more sophisticated group of fire protection products for commercial applications. In 1982, the Company introduced an automatic interior rearview mirror that was the first commercially successful glare-control product offered as an alternative to the conventional, manual day/night mirror. In 1987, the Company introduced its interior Night Vision Safety(TM) (NVS(R)) Mirror, an electrochromic automatic-dimming interior rearview mirror, providing the first successful commercial application of electrochromic technology in the automotive industry and world. Through the use of electrochromic technology, this mirror is continually variable and automatically darkens to the degree required to eliminate rearview headlight glare. In 1991, the Company introduced its exterior Night Vision Safety(TM) Mirror Sub-Assembly, which works as a complete glare-control system with the interior NVS(R) Mirror. In 1997, the Company began making volume shipments of three new exterior mirror sub-assembly products - thin glass flat, convex and aspheric.</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 FINANCIAL INFORMATION ABOUT INDUSTRY SEGMENTS.</w:t>
      </w:r>
    </w:p>
    <w:p>
      <w:pPr>
        <w:spacing w:after="0" w:line="173" w:lineRule="exact"/>
        <w:rPr>
          <w:sz w:val="20"/>
          <w:szCs w:val="20"/>
          <w:color w:val="auto"/>
        </w:rPr>
      </w:pPr>
    </w:p>
    <w:p>
      <w:pPr>
        <w:ind w:right="3759" w:firstLine="437"/>
        <w:spacing w:after="0" w:line="234" w:lineRule="auto"/>
        <w:rPr>
          <w:sz w:val="20"/>
          <w:szCs w:val="20"/>
          <w:color w:val="auto"/>
        </w:rPr>
      </w:pPr>
      <w:r>
        <w:rPr>
          <w:rFonts w:ascii="Courier New" w:cs="Courier New" w:eastAsia="Courier New" w:hAnsi="Courier New"/>
          <w:sz w:val="15"/>
          <w:szCs w:val="15"/>
          <w:color w:val="auto"/>
        </w:rPr>
        <w:t>See Note (9) to the Consolidated Financial Statements filed with this report.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 NARRATIVE DESCRIPTION OF BUSINESS</w:t>
      </w:r>
    </w:p>
    <w:p>
      <w:pPr>
        <w:spacing w:after="0" w:line="173" w:lineRule="exact"/>
        <w:rPr>
          <w:sz w:val="20"/>
          <w:szCs w:val="20"/>
          <w:color w:val="auto"/>
        </w:rPr>
      </w:pPr>
    </w:p>
    <w:p>
      <w:pPr>
        <w:jc w:val="both"/>
        <w:ind w:right="3939" w:firstLine="437"/>
        <w:spacing w:after="0" w:line="235" w:lineRule="auto"/>
        <w:rPr>
          <w:sz w:val="20"/>
          <w:szCs w:val="20"/>
          <w:color w:val="auto"/>
        </w:rPr>
      </w:pPr>
      <w:r>
        <w:rPr>
          <w:rFonts w:ascii="Courier New" w:cs="Courier New" w:eastAsia="Courier New" w:hAnsi="Courier New"/>
          <w:sz w:val="15"/>
          <w:szCs w:val="15"/>
          <w:color w:val="auto"/>
        </w:rPr>
        <w:t>The Company currently manufactures two electro-optic product lines: automatic-dimming rearview mirrors for the automotive industry and fire protection products for the commercial building industry.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AUTOMATIC REARVIEW MIRRORS.</w:t>
      </w:r>
    </w:p>
    <w:p>
      <w:pPr>
        <w:spacing w:after="0" w:line="5"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Interior NVS(R) Mirrors. In 1987, the Company achieved a significant technological breakthrough by applying electrochromic technology to the glare-sensing capabilities of its Motorized Mirror. Through the use of this technology, the mirror gradually darkens to the degree necessary to eliminate rearview glare from following vehicle headlights. The NVS(R) Mirror offers all of the continuous reflectance levels between its approximate 75% full-reflectance state and its 7% least-reflectance state, taking just a few seconds to span the entire range. Special electro-optic sensors in the mirror detect glare and electronic circuitry supplies electricity to darken the mirror to only the precise level required to eliminate glare, allowing the driver to maintain maximum vision. This is accomplished by the utilization of two layers of precision glass with special conductive coatings that are separated by the Company's proprietary electrochromic materials. When the appropriate light differential is detected, an electric current causes the electrochromic material to darken, decreasing the mirror's reflectance, thereby eliminating glare.</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281" w:right="1440" w:bottom="1440" w:gutter="0" w:footer="0" w:header="0"/>
        </w:sectPr>
      </w:pPr>
    </w:p>
    <w:bookmarkStart w:id="2" w:name="page3"/>
    <w:bookmarkEnd w:id="2"/>
    <w:p>
      <w:pPr>
        <w:ind w:left="280"/>
        <w:spacing w:after="0"/>
        <w:rPr>
          <w:sz w:val="20"/>
          <w:szCs w:val="20"/>
          <w:color w:val="auto"/>
        </w:rPr>
      </w:pPr>
      <w:r>
        <w:rPr>
          <w:rFonts w:ascii="Courier New" w:cs="Courier New" w:eastAsia="Courier New" w:hAnsi="Courier New"/>
          <w:sz w:val="15"/>
          <w:szCs w:val="15"/>
          <w:color w:val="auto"/>
        </w:rPr>
        <w:t>3</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During 1991, the Company began shipping the first advanced-feature interior NVS(R) Mirror, the NVS(R) Headlamp Control Mirror, an automatic-dimming mirror that automatically turns car head- and taillamps "on" and "off" in response to the level of light observed. During 1992, the Company began shipping its NVS(R) Lighted Mirror, with map/reading lights, and during 1993, the Company began shipping its NVS(R) Compass Mirror, with an electronic compass that automatically compensates for changes in the earth's magnetic field. During 1997, the Company began shipping a third-generation NVS(R) Headlamp Control Mirror, a second-generation NVS(R) Compass Mirror, and a new interior NVS(R) Mirror that digitally displays either a compass or outside temperature reading. The compass and outside temperature display technology was developed and patented by Prince, a Johnson Controls Company.</w:t>
      </w:r>
    </w:p>
    <w:p>
      <w:pPr>
        <w:spacing w:after="0" w:line="5"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The Company sold approximately 1,811,000 interior NVS(R) Mirrors in 1995, approximately 2,423,000 in 1996, and approximately 2,799,000 in 1997.</w:t>
      </w:r>
    </w:p>
    <w:p>
      <w:pPr>
        <w:spacing w:after="0" w:line="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During 1997, the unit growth primarily continued as a result of increased penetration of a number of high-volume light vehicles manufactured in North America, including pickup trucks and sport/utility vehicles from the Big Three auto manufacturers, as well as increased penetration of light vehicle models manufactured outside North America, including new, higher-volume vehicles in Europe. The Company's interior NVS(R) Mirrors are standard equipment or factory or distributor/dealer-installed options on the following 1998 and 1998-1/2 vehicle models: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281" w:right="1440" w:bottom="1440" w:gutter="0" w:footer="0" w:header="0"/>
        </w:sectPr>
      </w:pPr>
    </w:p>
    <w:bookmarkStart w:id="3" w:name="page4"/>
    <w:bookmarkEnd w:id="3"/>
    <w:p>
      <w:pPr>
        <w:ind w:left="280"/>
        <w:spacing w:after="0"/>
        <w:rPr>
          <w:sz w:val="20"/>
          <w:szCs w:val="20"/>
          <w:color w:val="auto"/>
        </w:rPr>
      </w:pPr>
      <w:r>
        <w:rPr>
          <w:rFonts w:ascii="Courier New" w:cs="Courier New" w:eastAsia="Courier New" w:hAnsi="Courier New"/>
          <w:sz w:val="15"/>
          <w:szCs w:val="15"/>
          <w:color w:val="auto"/>
        </w:rPr>
        <w:t>4</w:t>
      </w:r>
    </w:p>
    <w:p>
      <w:pPr>
        <w:spacing w:after="0" w:line="335"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TABLE 1.</w:t>
      </w:r>
      <w:r>
        <w:rPr>
          <w:sz w:val="20"/>
          <w:szCs w:val="20"/>
          <w:color w:val="auto"/>
        </w:rPr>
        <w:tab/>
      </w:r>
      <w:r>
        <w:rPr>
          <w:rFonts w:ascii="Courier New" w:cs="Courier New" w:eastAsia="Courier New" w:hAnsi="Courier New"/>
          <w:sz w:val="14"/>
          <w:szCs w:val="14"/>
          <w:color w:val="auto"/>
        </w:rPr>
        <w:t>INTERIOR NVS(R) MIRROR AVAILABILITY BY VEHICLE LINE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40" w:type="dxa"/>
            <w:vAlign w:val="bottom"/>
          </w:tcPr>
          <w:p>
            <w:pPr>
              <w:spacing w:after="0"/>
              <w:rPr>
                <w:sz w:val="20"/>
                <w:szCs w:val="20"/>
                <w:color w:val="auto"/>
              </w:rPr>
            </w:pPr>
            <w:r>
              <w:rPr>
                <w:rFonts w:ascii="Courier New" w:cs="Courier New" w:eastAsia="Courier New" w:hAnsi="Courier New"/>
                <w:sz w:val="15"/>
                <w:szCs w:val="15"/>
                <w:color w:val="auto"/>
              </w:rPr>
              <w:t>GM/Cadillac</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w w:val="95"/>
              </w:rPr>
              <w:t>Deville</w:t>
            </w:r>
          </w:p>
        </w:tc>
        <w:tc>
          <w:tcPr>
            <w:tcW w:w="1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20" w:type="dxa"/>
            <w:vAlign w:val="bottom"/>
          </w:tcPr>
          <w:p>
            <w:pPr>
              <w:ind w:left="360"/>
              <w:spacing w:after="0"/>
              <w:rPr>
                <w:sz w:val="20"/>
                <w:szCs w:val="20"/>
                <w:color w:val="auto"/>
              </w:rPr>
            </w:pPr>
            <w:r>
              <w:rPr>
                <w:rFonts w:ascii="Courier New" w:cs="Courier New" w:eastAsia="Courier New" w:hAnsi="Courier New"/>
                <w:sz w:val="15"/>
                <w:szCs w:val="15"/>
                <w:color w:val="auto"/>
                <w:w w:val="77"/>
              </w:rPr>
              <w:t>S*</w:t>
            </w:r>
          </w:p>
        </w:tc>
      </w:tr>
      <w:tr>
        <w:trPr>
          <w:trHeight w:val="168"/>
        </w:trPr>
        <w:tc>
          <w:tcPr>
            <w:tcW w:w="1240" w:type="dxa"/>
            <w:vAlign w:val="bottom"/>
          </w:tcPr>
          <w:p>
            <w:pPr>
              <w:spacing w:after="0"/>
              <w:rPr>
                <w:sz w:val="14"/>
                <w:szCs w:val="14"/>
                <w:color w:val="auto"/>
              </w:rPr>
            </w:pPr>
          </w:p>
        </w:tc>
        <w:tc>
          <w:tcPr>
            <w:tcW w:w="25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D'Elegance</w:t>
            </w:r>
          </w:p>
        </w:tc>
        <w:tc>
          <w:tcPr>
            <w:tcW w:w="1260" w:type="dxa"/>
            <w:vAlign w:val="bottom"/>
          </w:tcPr>
          <w:p>
            <w:pPr>
              <w:spacing w:after="0"/>
              <w:rPr>
                <w:sz w:val="14"/>
                <w:szCs w:val="14"/>
                <w:color w:val="auto"/>
              </w:rPr>
            </w:pPr>
          </w:p>
        </w:tc>
        <w:tc>
          <w:tcPr>
            <w:tcW w:w="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77"/>
              </w:rPr>
              <w:t>S*</w:t>
            </w:r>
          </w:p>
        </w:tc>
      </w:tr>
      <w:tr>
        <w:trPr>
          <w:trHeight w:val="168"/>
        </w:trPr>
        <w:tc>
          <w:tcPr>
            <w:tcW w:w="1240" w:type="dxa"/>
            <w:vAlign w:val="bottom"/>
          </w:tcPr>
          <w:p>
            <w:pPr>
              <w:spacing w:after="0"/>
              <w:rPr>
                <w:sz w:val="14"/>
                <w:szCs w:val="14"/>
                <w:color w:val="auto"/>
              </w:rPr>
            </w:pPr>
          </w:p>
        </w:tc>
        <w:tc>
          <w:tcPr>
            <w:tcW w:w="7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Catera</w:t>
            </w:r>
          </w:p>
        </w:tc>
        <w:tc>
          <w:tcPr>
            <w:tcW w:w="1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w:t>
            </w:r>
          </w:p>
        </w:tc>
      </w:tr>
      <w:tr>
        <w:trPr>
          <w:trHeight w:val="168"/>
        </w:trPr>
        <w:tc>
          <w:tcPr>
            <w:tcW w:w="1240" w:type="dxa"/>
            <w:vAlign w:val="bottom"/>
          </w:tcPr>
          <w:p>
            <w:pPr>
              <w:spacing w:after="0"/>
              <w:rPr>
                <w:sz w:val="14"/>
                <w:szCs w:val="14"/>
                <w:color w:val="auto"/>
              </w:rPr>
            </w:pPr>
          </w:p>
        </w:tc>
        <w:tc>
          <w:tcPr>
            <w:tcW w:w="25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Concours</w:t>
            </w:r>
          </w:p>
        </w:tc>
        <w:tc>
          <w:tcPr>
            <w:tcW w:w="1260" w:type="dxa"/>
            <w:vAlign w:val="bottom"/>
          </w:tcPr>
          <w:p>
            <w:pPr>
              <w:spacing w:after="0"/>
              <w:rPr>
                <w:sz w:val="14"/>
                <w:szCs w:val="14"/>
                <w:color w:val="auto"/>
              </w:rPr>
            </w:pPr>
          </w:p>
        </w:tc>
        <w:tc>
          <w:tcPr>
            <w:tcW w:w="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77"/>
              </w:rPr>
              <w:t>S*</w:t>
            </w:r>
          </w:p>
        </w:tc>
      </w:tr>
      <w:tr>
        <w:trPr>
          <w:trHeight w:val="168"/>
        </w:trPr>
        <w:tc>
          <w:tcPr>
            <w:tcW w:w="1240" w:type="dxa"/>
            <w:vAlign w:val="bottom"/>
          </w:tcPr>
          <w:p>
            <w:pPr>
              <w:spacing w:after="0"/>
              <w:rPr>
                <w:sz w:val="14"/>
                <w:szCs w:val="14"/>
                <w:color w:val="auto"/>
              </w:rPr>
            </w:pPr>
          </w:p>
        </w:tc>
        <w:tc>
          <w:tcPr>
            <w:tcW w:w="25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Eldorado</w:t>
            </w:r>
          </w:p>
        </w:tc>
        <w:tc>
          <w:tcPr>
            <w:tcW w:w="1260" w:type="dxa"/>
            <w:vAlign w:val="bottom"/>
          </w:tcPr>
          <w:p>
            <w:pPr>
              <w:spacing w:after="0"/>
              <w:rPr>
                <w:sz w:val="14"/>
                <w:szCs w:val="14"/>
                <w:color w:val="auto"/>
              </w:rPr>
            </w:pPr>
          </w:p>
        </w:tc>
        <w:tc>
          <w:tcPr>
            <w:tcW w:w="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77"/>
              </w:rPr>
              <w:t>S*</w:t>
            </w:r>
          </w:p>
        </w:tc>
      </w:tr>
      <w:tr>
        <w:trPr>
          <w:trHeight w:val="168"/>
        </w:trPr>
        <w:tc>
          <w:tcPr>
            <w:tcW w:w="1240" w:type="dxa"/>
            <w:vAlign w:val="bottom"/>
          </w:tcPr>
          <w:p>
            <w:pPr>
              <w:spacing w:after="0"/>
              <w:rPr>
                <w:sz w:val="14"/>
                <w:szCs w:val="14"/>
                <w:color w:val="auto"/>
              </w:rPr>
            </w:pPr>
          </w:p>
        </w:tc>
        <w:tc>
          <w:tcPr>
            <w:tcW w:w="25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Eldorado Touring Coupe</w:t>
            </w:r>
          </w:p>
        </w:tc>
        <w:tc>
          <w:tcPr>
            <w:tcW w:w="1260" w:type="dxa"/>
            <w:vAlign w:val="bottom"/>
          </w:tcPr>
          <w:p>
            <w:pPr>
              <w:spacing w:after="0"/>
              <w:rPr>
                <w:sz w:val="14"/>
                <w:szCs w:val="14"/>
                <w:color w:val="auto"/>
              </w:rPr>
            </w:pPr>
          </w:p>
        </w:tc>
        <w:tc>
          <w:tcPr>
            <w:tcW w:w="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77"/>
              </w:rPr>
              <w:t>S*</w:t>
            </w:r>
          </w:p>
        </w:tc>
      </w:tr>
      <w:tr>
        <w:trPr>
          <w:trHeight w:val="168"/>
        </w:trPr>
        <w:tc>
          <w:tcPr>
            <w:tcW w:w="1240" w:type="dxa"/>
            <w:vAlign w:val="bottom"/>
          </w:tcPr>
          <w:p>
            <w:pPr>
              <w:spacing w:after="0"/>
              <w:rPr>
                <w:sz w:val="14"/>
                <w:szCs w:val="14"/>
                <w:color w:val="auto"/>
              </w:rPr>
            </w:pPr>
          </w:p>
        </w:tc>
        <w:tc>
          <w:tcPr>
            <w:tcW w:w="7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5"/>
              </w:rPr>
              <w:t>Seville</w:t>
            </w:r>
          </w:p>
        </w:tc>
        <w:tc>
          <w:tcPr>
            <w:tcW w:w="1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77"/>
              </w:rPr>
              <w:t>S*</w:t>
            </w:r>
          </w:p>
        </w:tc>
      </w:tr>
      <w:tr>
        <w:trPr>
          <w:trHeight w:val="168"/>
        </w:trPr>
        <w:tc>
          <w:tcPr>
            <w:tcW w:w="1240" w:type="dxa"/>
            <w:vAlign w:val="bottom"/>
          </w:tcPr>
          <w:p>
            <w:pPr>
              <w:spacing w:after="0"/>
              <w:rPr>
                <w:sz w:val="14"/>
                <w:szCs w:val="14"/>
                <w:color w:val="auto"/>
              </w:rPr>
            </w:pPr>
          </w:p>
        </w:tc>
        <w:tc>
          <w:tcPr>
            <w:tcW w:w="25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Seville STS</w:t>
            </w:r>
          </w:p>
        </w:tc>
        <w:tc>
          <w:tcPr>
            <w:tcW w:w="1260" w:type="dxa"/>
            <w:vAlign w:val="bottom"/>
          </w:tcPr>
          <w:p>
            <w:pPr>
              <w:spacing w:after="0"/>
              <w:rPr>
                <w:sz w:val="14"/>
                <w:szCs w:val="14"/>
                <w:color w:val="auto"/>
              </w:rPr>
            </w:pPr>
          </w:p>
        </w:tc>
        <w:tc>
          <w:tcPr>
            <w:tcW w:w="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77"/>
              </w:rPr>
              <w:t>S*</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GM/Buick</w:t>
            </w:r>
          </w:p>
        </w:tc>
        <w:tc>
          <w:tcPr>
            <w:tcW w:w="25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LeSabre Limited</w:t>
            </w:r>
          </w:p>
        </w:tc>
        <w:tc>
          <w:tcPr>
            <w:tcW w:w="1260" w:type="dxa"/>
            <w:vAlign w:val="bottom"/>
          </w:tcPr>
          <w:p>
            <w:pPr>
              <w:spacing w:after="0"/>
              <w:rPr>
                <w:sz w:val="14"/>
                <w:szCs w:val="14"/>
                <w:color w:val="auto"/>
              </w:rPr>
            </w:pPr>
          </w:p>
        </w:tc>
        <w:tc>
          <w:tcPr>
            <w:tcW w:w="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77"/>
              </w:rPr>
              <w:t>S*</w:t>
            </w:r>
          </w:p>
        </w:tc>
      </w:tr>
      <w:tr>
        <w:trPr>
          <w:trHeight w:val="168"/>
        </w:trPr>
        <w:tc>
          <w:tcPr>
            <w:tcW w:w="1240" w:type="dxa"/>
            <w:vAlign w:val="bottom"/>
          </w:tcPr>
          <w:p>
            <w:pPr>
              <w:spacing w:after="0"/>
              <w:rPr>
                <w:sz w:val="14"/>
                <w:szCs w:val="14"/>
                <w:color w:val="auto"/>
              </w:rPr>
            </w:pPr>
          </w:p>
        </w:tc>
        <w:tc>
          <w:tcPr>
            <w:tcW w:w="25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Park Avenue</w:t>
            </w:r>
          </w:p>
        </w:tc>
        <w:tc>
          <w:tcPr>
            <w:tcW w:w="12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(ECC)</w:t>
            </w:r>
          </w:p>
        </w:tc>
        <w:tc>
          <w:tcPr>
            <w:tcW w:w="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w:t>
            </w:r>
          </w:p>
        </w:tc>
      </w:tr>
      <w:tr>
        <w:trPr>
          <w:trHeight w:val="168"/>
        </w:trPr>
        <w:tc>
          <w:tcPr>
            <w:tcW w:w="1240" w:type="dxa"/>
            <w:vAlign w:val="bottom"/>
          </w:tcPr>
          <w:p>
            <w:pPr>
              <w:spacing w:after="0"/>
              <w:rPr>
                <w:sz w:val="14"/>
                <w:szCs w:val="14"/>
                <w:color w:val="auto"/>
              </w:rPr>
            </w:pPr>
          </w:p>
        </w:tc>
        <w:tc>
          <w:tcPr>
            <w:tcW w:w="25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Park Avenue-Ultra</w:t>
            </w:r>
          </w:p>
        </w:tc>
        <w:tc>
          <w:tcPr>
            <w:tcW w:w="12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(ECC)</w:t>
            </w:r>
          </w:p>
        </w:tc>
        <w:tc>
          <w:tcPr>
            <w:tcW w:w="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w:t>
            </w:r>
          </w:p>
        </w:tc>
      </w:tr>
      <w:tr>
        <w:trPr>
          <w:trHeight w:val="168"/>
        </w:trPr>
        <w:tc>
          <w:tcPr>
            <w:tcW w:w="1240" w:type="dxa"/>
            <w:vAlign w:val="bottom"/>
          </w:tcPr>
          <w:p>
            <w:pPr>
              <w:spacing w:after="0"/>
              <w:rPr>
                <w:sz w:val="14"/>
                <w:szCs w:val="14"/>
                <w:color w:val="auto"/>
              </w:rPr>
            </w:pPr>
          </w:p>
        </w:tc>
        <w:tc>
          <w:tcPr>
            <w:tcW w:w="7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5"/>
              </w:rPr>
              <w:t>Riviera</w:t>
            </w:r>
          </w:p>
        </w:tc>
        <w:tc>
          <w:tcPr>
            <w:tcW w:w="1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77"/>
              </w:rPr>
              <w:t>O*</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GM/Oldsmobile</w:t>
            </w:r>
          </w:p>
        </w:tc>
        <w:tc>
          <w:tcPr>
            <w:tcW w:w="25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88 Regency</w:t>
            </w:r>
          </w:p>
        </w:tc>
        <w:tc>
          <w:tcPr>
            <w:tcW w:w="12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(ECC)</w:t>
            </w:r>
          </w:p>
        </w:tc>
        <w:tc>
          <w:tcPr>
            <w:tcW w:w="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w:t>
            </w:r>
          </w:p>
        </w:tc>
      </w:tr>
      <w:tr>
        <w:trPr>
          <w:trHeight w:val="168"/>
        </w:trPr>
        <w:tc>
          <w:tcPr>
            <w:tcW w:w="1240" w:type="dxa"/>
            <w:vAlign w:val="bottom"/>
          </w:tcPr>
          <w:p>
            <w:pPr>
              <w:spacing w:after="0"/>
              <w:rPr>
                <w:sz w:val="14"/>
                <w:szCs w:val="14"/>
                <w:color w:val="auto"/>
              </w:rPr>
            </w:pPr>
          </w:p>
        </w:tc>
        <w:tc>
          <w:tcPr>
            <w:tcW w:w="7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88 LSS</w:t>
            </w:r>
          </w:p>
        </w:tc>
        <w:tc>
          <w:tcPr>
            <w:tcW w:w="1880" w:type="dxa"/>
            <w:vAlign w:val="bottom"/>
          </w:tcPr>
          <w:p>
            <w:pPr>
              <w:spacing w:after="0"/>
              <w:rPr>
                <w:sz w:val="14"/>
                <w:szCs w:val="14"/>
                <w:color w:val="auto"/>
              </w:rPr>
            </w:pPr>
          </w:p>
        </w:tc>
        <w:tc>
          <w:tcPr>
            <w:tcW w:w="12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(ECC)</w:t>
            </w:r>
          </w:p>
        </w:tc>
        <w:tc>
          <w:tcPr>
            <w:tcW w:w="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w:t>
            </w:r>
          </w:p>
        </w:tc>
      </w:tr>
      <w:tr>
        <w:trPr>
          <w:trHeight w:val="168"/>
        </w:trPr>
        <w:tc>
          <w:tcPr>
            <w:tcW w:w="1240" w:type="dxa"/>
            <w:vAlign w:val="bottom"/>
          </w:tcPr>
          <w:p>
            <w:pPr>
              <w:spacing w:after="0"/>
              <w:rPr>
                <w:sz w:val="14"/>
                <w:szCs w:val="14"/>
                <w:color w:val="auto"/>
              </w:rPr>
            </w:pPr>
          </w:p>
        </w:tc>
        <w:tc>
          <w:tcPr>
            <w:tcW w:w="7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Aurora</w:t>
            </w:r>
          </w:p>
        </w:tc>
        <w:tc>
          <w:tcPr>
            <w:tcW w:w="1880" w:type="dxa"/>
            <w:vAlign w:val="bottom"/>
          </w:tcPr>
          <w:p>
            <w:pPr>
              <w:spacing w:after="0"/>
              <w:rPr>
                <w:sz w:val="14"/>
                <w:szCs w:val="14"/>
                <w:color w:val="auto"/>
              </w:rPr>
            </w:pPr>
          </w:p>
        </w:tc>
        <w:tc>
          <w:tcPr>
            <w:tcW w:w="12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(ECC)</w:t>
            </w:r>
          </w:p>
        </w:tc>
        <w:tc>
          <w:tcPr>
            <w:tcW w:w="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w:t>
            </w:r>
          </w:p>
        </w:tc>
      </w:tr>
      <w:tr>
        <w:trPr>
          <w:trHeight w:val="168"/>
        </w:trPr>
        <w:tc>
          <w:tcPr>
            <w:tcW w:w="1240" w:type="dxa"/>
            <w:vAlign w:val="bottom"/>
          </w:tcPr>
          <w:p>
            <w:pPr>
              <w:spacing w:after="0"/>
              <w:rPr>
                <w:sz w:val="14"/>
                <w:szCs w:val="14"/>
                <w:color w:val="auto"/>
              </w:rPr>
            </w:pPr>
          </w:p>
        </w:tc>
        <w:tc>
          <w:tcPr>
            <w:tcW w:w="7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5"/>
              </w:rPr>
              <w:t>Bravada</w:t>
            </w:r>
          </w:p>
        </w:tc>
        <w:tc>
          <w:tcPr>
            <w:tcW w:w="1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GM/Pontiac</w:t>
            </w:r>
          </w:p>
        </w:tc>
        <w:tc>
          <w:tcPr>
            <w:tcW w:w="25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Bonneville SSE</w:t>
            </w:r>
          </w:p>
        </w:tc>
        <w:tc>
          <w:tcPr>
            <w:tcW w:w="1260" w:type="dxa"/>
            <w:vAlign w:val="bottom"/>
          </w:tcPr>
          <w:p>
            <w:pPr>
              <w:spacing w:after="0"/>
              <w:rPr>
                <w:sz w:val="14"/>
                <w:szCs w:val="14"/>
                <w:color w:val="auto"/>
              </w:rPr>
            </w:pPr>
          </w:p>
        </w:tc>
        <w:tc>
          <w:tcPr>
            <w:tcW w:w="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GM/Chevrolet</w:t>
            </w:r>
          </w:p>
        </w:tc>
        <w:tc>
          <w:tcPr>
            <w:tcW w:w="7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Blazer</w:t>
            </w:r>
          </w:p>
        </w:tc>
        <w:tc>
          <w:tcPr>
            <w:tcW w:w="1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w:t>
            </w:r>
          </w:p>
        </w:tc>
      </w:tr>
      <w:tr>
        <w:trPr>
          <w:trHeight w:val="168"/>
        </w:trPr>
        <w:tc>
          <w:tcPr>
            <w:tcW w:w="1240" w:type="dxa"/>
            <w:vAlign w:val="bottom"/>
          </w:tcPr>
          <w:p>
            <w:pPr>
              <w:spacing w:after="0"/>
              <w:rPr>
                <w:sz w:val="14"/>
                <w:szCs w:val="14"/>
                <w:color w:val="auto"/>
              </w:rPr>
            </w:pPr>
          </w:p>
        </w:tc>
        <w:tc>
          <w:tcPr>
            <w:tcW w:w="25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C/K Pickup</w:t>
            </w:r>
          </w:p>
        </w:tc>
        <w:tc>
          <w:tcPr>
            <w:tcW w:w="12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(ECC)</w:t>
            </w:r>
          </w:p>
        </w:tc>
        <w:tc>
          <w:tcPr>
            <w:tcW w:w="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w:t>
            </w:r>
          </w:p>
        </w:tc>
      </w:tr>
      <w:tr>
        <w:trPr>
          <w:trHeight w:val="168"/>
        </w:trPr>
        <w:tc>
          <w:tcPr>
            <w:tcW w:w="1240" w:type="dxa"/>
            <w:vAlign w:val="bottom"/>
          </w:tcPr>
          <w:p>
            <w:pPr>
              <w:spacing w:after="0"/>
              <w:rPr>
                <w:sz w:val="14"/>
                <w:szCs w:val="14"/>
                <w:color w:val="auto"/>
              </w:rPr>
            </w:pPr>
          </w:p>
        </w:tc>
        <w:tc>
          <w:tcPr>
            <w:tcW w:w="25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Suburban</w:t>
            </w:r>
          </w:p>
        </w:tc>
        <w:tc>
          <w:tcPr>
            <w:tcW w:w="12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(ECC/T)</w:t>
            </w:r>
          </w:p>
        </w:tc>
        <w:tc>
          <w:tcPr>
            <w:tcW w:w="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GM/GMC</w:t>
            </w:r>
          </w:p>
        </w:tc>
        <w:tc>
          <w:tcPr>
            <w:tcW w:w="25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C/K Pickup</w:t>
            </w:r>
          </w:p>
        </w:tc>
        <w:tc>
          <w:tcPr>
            <w:tcW w:w="12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(ECC)</w:t>
            </w:r>
          </w:p>
        </w:tc>
        <w:tc>
          <w:tcPr>
            <w:tcW w:w="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w:t>
            </w:r>
          </w:p>
        </w:tc>
      </w:tr>
      <w:tr>
        <w:trPr>
          <w:trHeight w:val="168"/>
        </w:trPr>
        <w:tc>
          <w:tcPr>
            <w:tcW w:w="1240" w:type="dxa"/>
            <w:vAlign w:val="bottom"/>
          </w:tcPr>
          <w:p>
            <w:pPr>
              <w:spacing w:after="0"/>
              <w:rPr>
                <w:sz w:val="14"/>
                <w:szCs w:val="14"/>
                <w:color w:val="auto"/>
              </w:rPr>
            </w:pPr>
          </w:p>
        </w:tc>
        <w:tc>
          <w:tcPr>
            <w:tcW w:w="25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C/K Crew Cab Pickup</w:t>
            </w:r>
          </w:p>
        </w:tc>
        <w:tc>
          <w:tcPr>
            <w:tcW w:w="12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(ECC)</w:t>
            </w:r>
          </w:p>
        </w:tc>
        <w:tc>
          <w:tcPr>
            <w:tcW w:w="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w:t>
            </w:r>
          </w:p>
        </w:tc>
      </w:tr>
      <w:tr>
        <w:trPr>
          <w:trHeight w:val="168"/>
        </w:trPr>
        <w:tc>
          <w:tcPr>
            <w:tcW w:w="1240" w:type="dxa"/>
            <w:vAlign w:val="bottom"/>
          </w:tcPr>
          <w:p>
            <w:pPr>
              <w:spacing w:after="0"/>
              <w:rPr>
                <w:sz w:val="14"/>
                <w:szCs w:val="14"/>
                <w:color w:val="auto"/>
              </w:rPr>
            </w:pPr>
          </w:p>
        </w:tc>
        <w:tc>
          <w:tcPr>
            <w:tcW w:w="7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Jimmy</w:t>
            </w:r>
          </w:p>
        </w:tc>
        <w:tc>
          <w:tcPr>
            <w:tcW w:w="1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w:t>
            </w:r>
          </w:p>
        </w:tc>
      </w:tr>
      <w:tr>
        <w:trPr>
          <w:trHeight w:val="168"/>
        </w:trPr>
        <w:tc>
          <w:tcPr>
            <w:tcW w:w="1240" w:type="dxa"/>
            <w:vAlign w:val="bottom"/>
          </w:tcPr>
          <w:p>
            <w:pPr>
              <w:spacing w:after="0"/>
              <w:rPr>
                <w:sz w:val="14"/>
                <w:szCs w:val="14"/>
                <w:color w:val="auto"/>
              </w:rPr>
            </w:pPr>
          </w:p>
        </w:tc>
        <w:tc>
          <w:tcPr>
            <w:tcW w:w="7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Yukon</w:t>
            </w:r>
          </w:p>
        </w:tc>
        <w:tc>
          <w:tcPr>
            <w:tcW w:w="1880" w:type="dxa"/>
            <w:vAlign w:val="bottom"/>
          </w:tcPr>
          <w:p>
            <w:pPr>
              <w:spacing w:after="0" w:line="168" w:lineRule="exact"/>
              <w:rPr>
                <w:sz w:val="20"/>
                <w:szCs w:val="20"/>
                <w:color w:val="auto"/>
              </w:rPr>
            </w:pPr>
            <w:r>
              <w:rPr>
                <w:rFonts w:ascii="Courier New" w:cs="Courier New" w:eastAsia="Courier New" w:hAnsi="Courier New"/>
                <w:sz w:val="15"/>
                <w:szCs w:val="15"/>
                <w:color w:val="auto"/>
              </w:rPr>
              <w:t>(2-Door)</w:t>
            </w:r>
          </w:p>
        </w:tc>
        <w:tc>
          <w:tcPr>
            <w:tcW w:w="12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(ECC/T)</w:t>
            </w:r>
          </w:p>
        </w:tc>
        <w:tc>
          <w:tcPr>
            <w:tcW w:w="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w:t>
            </w:r>
          </w:p>
        </w:tc>
      </w:tr>
      <w:tr>
        <w:trPr>
          <w:trHeight w:val="168"/>
        </w:trPr>
        <w:tc>
          <w:tcPr>
            <w:tcW w:w="1240" w:type="dxa"/>
            <w:vAlign w:val="bottom"/>
          </w:tcPr>
          <w:p>
            <w:pPr>
              <w:spacing w:after="0"/>
              <w:rPr>
                <w:sz w:val="14"/>
                <w:szCs w:val="14"/>
                <w:color w:val="auto"/>
              </w:rPr>
            </w:pPr>
          </w:p>
        </w:tc>
        <w:tc>
          <w:tcPr>
            <w:tcW w:w="7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Yukon</w:t>
            </w:r>
          </w:p>
        </w:tc>
        <w:tc>
          <w:tcPr>
            <w:tcW w:w="1880" w:type="dxa"/>
            <w:vAlign w:val="bottom"/>
          </w:tcPr>
          <w:p>
            <w:pPr>
              <w:spacing w:after="0" w:line="168" w:lineRule="exact"/>
              <w:rPr>
                <w:sz w:val="20"/>
                <w:szCs w:val="20"/>
                <w:color w:val="auto"/>
              </w:rPr>
            </w:pPr>
            <w:r>
              <w:rPr>
                <w:rFonts w:ascii="Courier New" w:cs="Courier New" w:eastAsia="Courier New" w:hAnsi="Courier New"/>
                <w:sz w:val="15"/>
                <w:szCs w:val="15"/>
                <w:color w:val="auto"/>
              </w:rPr>
              <w:t>(4-Door)</w:t>
            </w:r>
          </w:p>
        </w:tc>
        <w:tc>
          <w:tcPr>
            <w:tcW w:w="12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(ECC/T)</w:t>
            </w:r>
          </w:p>
        </w:tc>
        <w:tc>
          <w:tcPr>
            <w:tcW w:w="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w:t>
            </w:r>
          </w:p>
        </w:tc>
      </w:tr>
      <w:tr>
        <w:trPr>
          <w:trHeight w:val="168"/>
        </w:trPr>
        <w:tc>
          <w:tcPr>
            <w:tcW w:w="1240" w:type="dxa"/>
            <w:vAlign w:val="bottom"/>
          </w:tcPr>
          <w:p>
            <w:pPr>
              <w:spacing w:after="0"/>
              <w:rPr>
                <w:sz w:val="14"/>
                <w:szCs w:val="14"/>
                <w:color w:val="auto"/>
              </w:rPr>
            </w:pPr>
          </w:p>
        </w:tc>
        <w:tc>
          <w:tcPr>
            <w:tcW w:w="25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Suburban</w:t>
            </w:r>
          </w:p>
        </w:tc>
        <w:tc>
          <w:tcPr>
            <w:tcW w:w="12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(ECC/T)</w:t>
            </w:r>
          </w:p>
        </w:tc>
        <w:tc>
          <w:tcPr>
            <w:tcW w:w="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Ford/Lincoln</w:t>
            </w:r>
          </w:p>
        </w:tc>
        <w:tc>
          <w:tcPr>
            <w:tcW w:w="25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Town Car Cartier</w:t>
            </w:r>
          </w:p>
        </w:tc>
        <w:tc>
          <w:tcPr>
            <w:tcW w:w="1260" w:type="dxa"/>
            <w:vAlign w:val="bottom"/>
          </w:tcPr>
          <w:p>
            <w:pPr>
              <w:spacing w:after="0"/>
              <w:rPr>
                <w:sz w:val="14"/>
                <w:szCs w:val="14"/>
                <w:color w:val="auto"/>
              </w:rPr>
            </w:pPr>
          </w:p>
        </w:tc>
        <w:tc>
          <w:tcPr>
            <w:tcW w:w="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w:t>
            </w:r>
          </w:p>
        </w:tc>
      </w:tr>
      <w:tr>
        <w:trPr>
          <w:trHeight w:val="168"/>
        </w:trPr>
        <w:tc>
          <w:tcPr>
            <w:tcW w:w="1240" w:type="dxa"/>
            <w:vAlign w:val="bottom"/>
          </w:tcPr>
          <w:p>
            <w:pPr>
              <w:spacing w:after="0"/>
              <w:rPr>
                <w:sz w:val="14"/>
                <w:szCs w:val="14"/>
                <w:color w:val="auto"/>
              </w:rPr>
            </w:pPr>
          </w:p>
        </w:tc>
        <w:tc>
          <w:tcPr>
            <w:tcW w:w="25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Town Car Executive</w:t>
            </w:r>
          </w:p>
        </w:tc>
        <w:tc>
          <w:tcPr>
            <w:tcW w:w="1260" w:type="dxa"/>
            <w:vAlign w:val="bottom"/>
          </w:tcPr>
          <w:p>
            <w:pPr>
              <w:spacing w:after="0"/>
              <w:rPr>
                <w:sz w:val="14"/>
                <w:szCs w:val="14"/>
                <w:color w:val="auto"/>
              </w:rPr>
            </w:pPr>
          </w:p>
        </w:tc>
        <w:tc>
          <w:tcPr>
            <w:tcW w:w="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w:t>
            </w:r>
          </w:p>
        </w:tc>
      </w:tr>
      <w:tr>
        <w:trPr>
          <w:trHeight w:val="168"/>
        </w:trPr>
        <w:tc>
          <w:tcPr>
            <w:tcW w:w="1240" w:type="dxa"/>
            <w:vAlign w:val="bottom"/>
          </w:tcPr>
          <w:p>
            <w:pPr>
              <w:spacing w:after="0"/>
              <w:rPr>
                <w:sz w:val="14"/>
                <w:szCs w:val="14"/>
                <w:color w:val="auto"/>
              </w:rPr>
            </w:pPr>
          </w:p>
        </w:tc>
        <w:tc>
          <w:tcPr>
            <w:tcW w:w="25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Town Car Signature</w:t>
            </w:r>
          </w:p>
        </w:tc>
        <w:tc>
          <w:tcPr>
            <w:tcW w:w="1260" w:type="dxa"/>
            <w:vAlign w:val="bottom"/>
          </w:tcPr>
          <w:p>
            <w:pPr>
              <w:spacing w:after="0"/>
              <w:rPr>
                <w:sz w:val="14"/>
                <w:szCs w:val="14"/>
                <w:color w:val="auto"/>
              </w:rPr>
            </w:pPr>
          </w:p>
        </w:tc>
        <w:tc>
          <w:tcPr>
            <w:tcW w:w="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w:t>
            </w:r>
          </w:p>
        </w:tc>
      </w:tr>
      <w:tr>
        <w:trPr>
          <w:trHeight w:val="168"/>
        </w:trPr>
        <w:tc>
          <w:tcPr>
            <w:tcW w:w="1240" w:type="dxa"/>
            <w:vAlign w:val="bottom"/>
          </w:tcPr>
          <w:p>
            <w:pPr>
              <w:spacing w:after="0"/>
              <w:rPr>
                <w:sz w:val="14"/>
                <w:szCs w:val="14"/>
                <w:color w:val="auto"/>
              </w:rPr>
            </w:pPr>
          </w:p>
        </w:tc>
        <w:tc>
          <w:tcPr>
            <w:tcW w:w="25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Mark VIII</w:t>
            </w:r>
          </w:p>
        </w:tc>
        <w:tc>
          <w:tcPr>
            <w:tcW w:w="1260" w:type="dxa"/>
            <w:vAlign w:val="bottom"/>
          </w:tcPr>
          <w:p>
            <w:pPr>
              <w:spacing w:after="0"/>
              <w:rPr>
                <w:sz w:val="14"/>
                <w:szCs w:val="14"/>
                <w:color w:val="auto"/>
              </w:rPr>
            </w:pPr>
          </w:p>
        </w:tc>
        <w:tc>
          <w:tcPr>
            <w:tcW w:w="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w:t>
            </w:r>
          </w:p>
        </w:tc>
      </w:tr>
      <w:tr>
        <w:trPr>
          <w:trHeight w:val="168"/>
        </w:trPr>
        <w:tc>
          <w:tcPr>
            <w:tcW w:w="1240" w:type="dxa"/>
            <w:vAlign w:val="bottom"/>
          </w:tcPr>
          <w:p>
            <w:pPr>
              <w:spacing w:after="0"/>
              <w:rPr>
                <w:sz w:val="14"/>
                <w:szCs w:val="14"/>
                <w:color w:val="auto"/>
              </w:rPr>
            </w:pPr>
          </w:p>
        </w:tc>
        <w:tc>
          <w:tcPr>
            <w:tcW w:w="25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Navigator</w:t>
            </w:r>
          </w:p>
        </w:tc>
        <w:tc>
          <w:tcPr>
            <w:tcW w:w="1260" w:type="dxa"/>
            <w:vAlign w:val="bottom"/>
          </w:tcPr>
          <w:p>
            <w:pPr>
              <w:spacing w:after="0"/>
              <w:rPr>
                <w:sz w:val="14"/>
                <w:szCs w:val="14"/>
                <w:color w:val="auto"/>
              </w:rPr>
            </w:pPr>
          </w:p>
        </w:tc>
        <w:tc>
          <w:tcPr>
            <w:tcW w:w="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Ford</w:t>
            </w:r>
          </w:p>
        </w:tc>
        <w:tc>
          <w:tcPr>
            <w:tcW w:w="25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Crown Victoria</w:t>
            </w:r>
          </w:p>
        </w:tc>
        <w:tc>
          <w:tcPr>
            <w:tcW w:w="12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(ECC)</w:t>
            </w:r>
          </w:p>
        </w:tc>
        <w:tc>
          <w:tcPr>
            <w:tcW w:w="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w:t>
            </w:r>
          </w:p>
        </w:tc>
      </w:tr>
      <w:tr>
        <w:trPr>
          <w:trHeight w:val="168"/>
        </w:trPr>
        <w:tc>
          <w:tcPr>
            <w:tcW w:w="1240" w:type="dxa"/>
            <w:vAlign w:val="bottom"/>
          </w:tcPr>
          <w:p>
            <w:pPr>
              <w:spacing w:after="0"/>
              <w:rPr>
                <w:sz w:val="14"/>
                <w:szCs w:val="14"/>
                <w:color w:val="auto"/>
              </w:rPr>
            </w:pPr>
          </w:p>
        </w:tc>
        <w:tc>
          <w:tcPr>
            <w:tcW w:w="25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Explorer Limited</w:t>
            </w:r>
          </w:p>
        </w:tc>
        <w:tc>
          <w:tcPr>
            <w:tcW w:w="12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(EH)</w:t>
            </w:r>
          </w:p>
        </w:tc>
        <w:tc>
          <w:tcPr>
            <w:tcW w:w="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w:t>
            </w:r>
          </w:p>
        </w:tc>
      </w:tr>
      <w:tr>
        <w:trPr>
          <w:trHeight w:val="168"/>
        </w:trPr>
        <w:tc>
          <w:tcPr>
            <w:tcW w:w="1240" w:type="dxa"/>
            <w:vAlign w:val="bottom"/>
          </w:tcPr>
          <w:p>
            <w:pPr>
              <w:spacing w:after="0"/>
              <w:rPr>
                <w:sz w:val="14"/>
                <w:szCs w:val="14"/>
                <w:color w:val="auto"/>
              </w:rPr>
            </w:pPr>
          </w:p>
        </w:tc>
        <w:tc>
          <w:tcPr>
            <w:tcW w:w="25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Explorer (Sport, EB, XLT)</w:t>
            </w:r>
          </w:p>
        </w:tc>
        <w:tc>
          <w:tcPr>
            <w:tcW w:w="12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(EH)</w:t>
            </w:r>
          </w:p>
        </w:tc>
        <w:tc>
          <w:tcPr>
            <w:tcW w:w="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w:t>
            </w:r>
          </w:p>
        </w:tc>
      </w:tr>
      <w:tr>
        <w:trPr>
          <w:trHeight w:val="168"/>
        </w:trPr>
        <w:tc>
          <w:tcPr>
            <w:tcW w:w="1240" w:type="dxa"/>
            <w:vAlign w:val="bottom"/>
          </w:tcPr>
          <w:p>
            <w:pPr>
              <w:spacing w:after="0"/>
              <w:rPr>
                <w:sz w:val="14"/>
                <w:szCs w:val="14"/>
                <w:color w:val="auto"/>
              </w:rPr>
            </w:pPr>
          </w:p>
        </w:tc>
        <w:tc>
          <w:tcPr>
            <w:tcW w:w="25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Windstar</w:t>
            </w:r>
          </w:p>
        </w:tc>
        <w:tc>
          <w:tcPr>
            <w:tcW w:w="12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(EH)</w:t>
            </w:r>
          </w:p>
        </w:tc>
        <w:tc>
          <w:tcPr>
            <w:tcW w:w="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Ford/Mercury</w:t>
            </w:r>
          </w:p>
        </w:tc>
        <w:tc>
          <w:tcPr>
            <w:tcW w:w="25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Grand Marquis</w:t>
            </w:r>
          </w:p>
        </w:tc>
        <w:tc>
          <w:tcPr>
            <w:tcW w:w="12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(ECC)</w:t>
            </w:r>
          </w:p>
        </w:tc>
        <w:tc>
          <w:tcPr>
            <w:tcW w:w="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w:t>
            </w:r>
          </w:p>
        </w:tc>
      </w:tr>
      <w:tr>
        <w:trPr>
          <w:trHeight w:val="168"/>
        </w:trPr>
        <w:tc>
          <w:tcPr>
            <w:tcW w:w="1240" w:type="dxa"/>
            <w:vAlign w:val="bottom"/>
          </w:tcPr>
          <w:p>
            <w:pPr>
              <w:spacing w:after="0"/>
              <w:rPr>
                <w:sz w:val="14"/>
                <w:szCs w:val="14"/>
                <w:color w:val="auto"/>
              </w:rPr>
            </w:pPr>
          </w:p>
        </w:tc>
        <w:tc>
          <w:tcPr>
            <w:tcW w:w="25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Mountaineer</w:t>
            </w:r>
          </w:p>
        </w:tc>
        <w:tc>
          <w:tcPr>
            <w:tcW w:w="1260" w:type="dxa"/>
            <w:vAlign w:val="bottom"/>
          </w:tcPr>
          <w:p>
            <w:pPr>
              <w:spacing w:after="0"/>
              <w:rPr>
                <w:sz w:val="14"/>
                <w:szCs w:val="14"/>
                <w:color w:val="auto"/>
              </w:rPr>
            </w:pPr>
          </w:p>
        </w:tc>
        <w:tc>
          <w:tcPr>
            <w:tcW w:w="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Chrysler</w:t>
            </w:r>
          </w:p>
        </w:tc>
        <w:tc>
          <w:tcPr>
            <w:tcW w:w="7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LHS</w:t>
            </w:r>
          </w:p>
        </w:tc>
        <w:tc>
          <w:tcPr>
            <w:tcW w:w="1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w:t>
            </w:r>
          </w:p>
        </w:tc>
      </w:tr>
      <w:tr>
        <w:trPr>
          <w:trHeight w:val="168"/>
        </w:trPr>
        <w:tc>
          <w:tcPr>
            <w:tcW w:w="1240" w:type="dxa"/>
            <w:vAlign w:val="bottom"/>
          </w:tcPr>
          <w:p>
            <w:pPr>
              <w:spacing w:after="0"/>
              <w:rPr>
                <w:sz w:val="14"/>
                <w:szCs w:val="14"/>
                <w:color w:val="auto"/>
              </w:rPr>
            </w:pPr>
          </w:p>
        </w:tc>
        <w:tc>
          <w:tcPr>
            <w:tcW w:w="25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Concorde</w:t>
            </w:r>
          </w:p>
        </w:tc>
        <w:tc>
          <w:tcPr>
            <w:tcW w:w="1260" w:type="dxa"/>
            <w:vAlign w:val="bottom"/>
          </w:tcPr>
          <w:p>
            <w:pPr>
              <w:spacing w:after="0"/>
              <w:rPr>
                <w:sz w:val="14"/>
                <w:szCs w:val="14"/>
                <w:color w:val="auto"/>
              </w:rPr>
            </w:pPr>
          </w:p>
        </w:tc>
        <w:tc>
          <w:tcPr>
            <w:tcW w:w="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w:t>
            </w:r>
          </w:p>
        </w:tc>
      </w:tr>
      <w:tr>
        <w:trPr>
          <w:trHeight w:val="168"/>
        </w:trPr>
        <w:tc>
          <w:tcPr>
            <w:tcW w:w="1240" w:type="dxa"/>
            <w:vAlign w:val="bottom"/>
          </w:tcPr>
          <w:p>
            <w:pPr>
              <w:spacing w:after="0"/>
              <w:rPr>
                <w:sz w:val="14"/>
                <w:szCs w:val="14"/>
                <w:color w:val="auto"/>
              </w:rPr>
            </w:pPr>
          </w:p>
        </w:tc>
        <w:tc>
          <w:tcPr>
            <w:tcW w:w="25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Town &amp; Country LXi</w:t>
            </w:r>
          </w:p>
        </w:tc>
        <w:tc>
          <w:tcPr>
            <w:tcW w:w="1260" w:type="dxa"/>
            <w:vAlign w:val="bottom"/>
          </w:tcPr>
          <w:p>
            <w:pPr>
              <w:spacing w:after="0"/>
              <w:rPr>
                <w:sz w:val="14"/>
                <w:szCs w:val="14"/>
                <w:color w:val="auto"/>
              </w:rPr>
            </w:pPr>
          </w:p>
        </w:tc>
        <w:tc>
          <w:tcPr>
            <w:tcW w:w="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Dodge</w:t>
            </w:r>
          </w:p>
        </w:tc>
        <w:tc>
          <w:tcPr>
            <w:tcW w:w="25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Intrepid</w:t>
            </w:r>
          </w:p>
        </w:tc>
        <w:tc>
          <w:tcPr>
            <w:tcW w:w="1260" w:type="dxa"/>
            <w:vAlign w:val="bottom"/>
          </w:tcPr>
          <w:p>
            <w:pPr>
              <w:spacing w:after="0"/>
              <w:rPr>
                <w:sz w:val="14"/>
                <w:szCs w:val="14"/>
                <w:color w:val="auto"/>
              </w:rPr>
            </w:pPr>
          </w:p>
        </w:tc>
        <w:tc>
          <w:tcPr>
            <w:tcW w:w="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w:t>
            </w:r>
          </w:p>
        </w:tc>
      </w:tr>
      <w:tr>
        <w:trPr>
          <w:trHeight w:val="168"/>
        </w:trPr>
        <w:tc>
          <w:tcPr>
            <w:tcW w:w="1240" w:type="dxa"/>
            <w:vAlign w:val="bottom"/>
          </w:tcPr>
          <w:p>
            <w:pPr>
              <w:spacing w:after="0"/>
              <w:rPr>
                <w:sz w:val="14"/>
                <w:szCs w:val="14"/>
                <w:color w:val="auto"/>
              </w:rPr>
            </w:pPr>
          </w:p>
        </w:tc>
        <w:tc>
          <w:tcPr>
            <w:tcW w:w="25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Grand Caravan ES</w:t>
            </w:r>
          </w:p>
        </w:tc>
        <w:tc>
          <w:tcPr>
            <w:tcW w:w="1260" w:type="dxa"/>
            <w:vAlign w:val="bottom"/>
          </w:tcPr>
          <w:p>
            <w:pPr>
              <w:spacing w:after="0"/>
              <w:rPr>
                <w:sz w:val="14"/>
                <w:szCs w:val="14"/>
                <w:color w:val="auto"/>
              </w:rPr>
            </w:pPr>
          </w:p>
        </w:tc>
        <w:tc>
          <w:tcPr>
            <w:tcW w:w="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w:t>
            </w:r>
          </w:p>
        </w:tc>
      </w:tr>
      <w:tr>
        <w:trPr>
          <w:trHeight w:val="168"/>
        </w:trPr>
        <w:tc>
          <w:tcPr>
            <w:tcW w:w="1240" w:type="dxa"/>
            <w:vAlign w:val="bottom"/>
          </w:tcPr>
          <w:p>
            <w:pPr>
              <w:spacing w:after="0"/>
              <w:rPr>
                <w:sz w:val="14"/>
                <w:szCs w:val="14"/>
                <w:color w:val="auto"/>
              </w:rPr>
            </w:pPr>
          </w:p>
        </w:tc>
        <w:tc>
          <w:tcPr>
            <w:tcW w:w="25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Ram Pickup</w:t>
            </w:r>
          </w:p>
        </w:tc>
        <w:tc>
          <w:tcPr>
            <w:tcW w:w="1260" w:type="dxa"/>
            <w:vAlign w:val="bottom"/>
          </w:tcPr>
          <w:p>
            <w:pPr>
              <w:spacing w:after="0"/>
              <w:rPr>
                <w:sz w:val="14"/>
                <w:szCs w:val="14"/>
                <w:color w:val="auto"/>
              </w:rPr>
            </w:pPr>
          </w:p>
        </w:tc>
        <w:tc>
          <w:tcPr>
            <w:tcW w:w="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w:t>
            </w:r>
          </w:p>
        </w:tc>
      </w:tr>
      <w:tr>
        <w:trPr>
          <w:trHeight w:val="168"/>
        </w:trPr>
        <w:tc>
          <w:tcPr>
            <w:tcW w:w="1240" w:type="dxa"/>
            <w:vAlign w:val="bottom"/>
          </w:tcPr>
          <w:p>
            <w:pPr>
              <w:spacing w:after="0"/>
              <w:rPr>
                <w:sz w:val="14"/>
                <w:szCs w:val="14"/>
                <w:color w:val="auto"/>
              </w:rPr>
            </w:pPr>
          </w:p>
        </w:tc>
        <w:tc>
          <w:tcPr>
            <w:tcW w:w="25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Dakota Pickup</w:t>
            </w:r>
          </w:p>
        </w:tc>
        <w:tc>
          <w:tcPr>
            <w:tcW w:w="1260" w:type="dxa"/>
            <w:vAlign w:val="bottom"/>
          </w:tcPr>
          <w:p>
            <w:pPr>
              <w:spacing w:after="0"/>
              <w:rPr>
                <w:sz w:val="14"/>
                <w:szCs w:val="14"/>
                <w:color w:val="auto"/>
              </w:rPr>
            </w:pPr>
          </w:p>
        </w:tc>
        <w:tc>
          <w:tcPr>
            <w:tcW w:w="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w:t>
            </w:r>
          </w:p>
        </w:tc>
      </w:tr>
      <w:tr>
        <w:trPr>
          <w:trHeight w:val="168"/>
        </w:trPr>
        <w:tc>
          <w:tcPr>
            <w:tcW w:w="1240" w:type="dxa"/>
            <w:vAlign w:val="bottom"/>
          </w:tcPr>
          <w:p>
            <w:pPr>
              <w:spacing w:after="0"/>
              <w:rPr>
                <w:sz w:val="14"/>
                <w:szCs w:val="14"/>
                <w:color w:val="auto"/>
              </w:rPr>
            </w:pPr>
          </w:p>
        </w:tc>
        <w:tc>
          <w:tcPr>
            <w:tcW w:w="7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5"/>
              </w:rPr>
              <w:t>Durango</w:t>
            </w:r>
          </w:p>
        </w:tc>
        <w:tc>
          <w:tcPr>
            <w:tcW w:w="1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Jeep</w:t>
            </w:r>
          </w:p>
        </w:tc>
        <w:tc>
          <w:tcPr>
            <w:tcW w:w="25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Grand Cherokee Limited</w:t>
            </w:r>
          </w:p>
        </w:tc>
        <w:tc>
          <w:tcPr>
            <w:tcW w:w="1260" w:type="dxa"/>
            <w:vAlign w:val="bottom"/>
          </w:tcPr>
          <w:p>
            <w:pPr>
              <w:spacing w:after="0"/>
              <w:rPr>
                <w:sz w:val="14"/>
                <w:szCs w:val="14"/>
                <w:color w:val="auto"/>
              </w:rPr>
            </w:pPr>
          </w:p>
        </w:tc>
        <w:tc>
          <w:tcPr>
            <w:tcW w:w="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w:t>
            </w:r>
          </w:p>
        </w:tc>
      </w:tr>
      <w:tr>
        <w:trPr>
          <w:trHeight w:val="168"/>
        </w:trPr>
        <w:tc>
          <w:tcPr>
            <w:tcW w:w="1240" w:type="dxa"/>
            <w:vAlign w:val="bottom"/>
          </w:tcPr>
          <w:p>
            <w:pPr>
              <w:spacing w:after="0"/>
              <w:rPr>
                <w:sz w:val="14"/>
                <w:szCs w:val="14"/>
                <w:color w:val="auto"/>
              </w:rPr>
            </w:pPr>
          </w:p>
        </w:tc>
        <w:tc>
          <w:tcPr>
            <w:tcW w:w="25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Grand Cherokee Laredo</w:t>
            </w:r>
          </w:p>
        </w:tc>
        <w:tc>
          <w:tcPr>
            <w:tcW w:w="1260" w:type="dxa"/>
            <w:vAlign w:val="bottom"/>
          </w:tcPr>
          <w:p>
            <w:pPr>
              <w:spacing w:after="0"/>
              <w:rPr>
                <w:sz w:val="14"/>
                <w:szCs w:val="14"/>
                <w:color w:val="auto"/>
              </w:rPr>
            </w:pPr>
          </w:p>
        </w:tc>
        <w:tc>
          <w:tcPr>
            <w:tcW w:w="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00" w:type="dxa"/>
            <w:vAlign w:val="bottom"/>
          </w:tcPr>
          <w:p>
            <w:pPr>
              <w:spacing w:after="0"/>
              <w:rPr>
                <w:sz w:val="20"/>
                <w:szCs w:val="20"/>
                <w:color w:val="auto"/>
              </w:rPr>
            </w:pPr>
            <w:r>
              <w:rPr>
                <w:rFonts w:ascii="Courier New" w:cs="Courier New" w:eastAsia="Courier New" w:hAnsi="Courier New"/>
                <w:sz w:val="15"/>
                <w:szCs w:val="15"/>
                <w:color w:val="auto"/>
              </w:rPr>
              <w:t>Audi</w:t>
            </w:r>
          </w:p>
        </w:tc>
        <w:tc>
          <w:tcPr>
            <w:tcW w:w="1500" w:type="dxa"/>
            <w:vAlign w:val="bottom"/>
          </w:tcPr>
          <w:p>
            <w:pPr>
              <w:ind w:left="700"/>
              <w:spacing w:after="0"/>
              <w:rPr>
                <w:sz w:val="20"/>
                <w:szCs w:val="20"/>
                <w:color w:val="auto"/>
              </w:rPr>
            </w:pPr>
            <w:r>
              <w:rPr>
                <w:rFonts w:ascii="Courier New" w:cs="Courier New" w:eastAsia="Courier New" w:hAnsi="Courier New"/>
                <w:sz w:val="15"/>
                <w:szCs w:val="15"/>
                <w:color w:val="auto"/>
              </w:rPr>
              <w:t>A8</w:t>
            </w: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O</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Bentley</w:t>
            </w:r>
          </w:p>
        </w:tc>
        <w:tc>
          <w:tcPr>
            <w:tcW w:w="1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(RKE)</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S</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BMW</w:t>
            </w:r>
          </w:p>
        </w:tc>
        <w:tc>
          <w:tcPr>
            <w:tcW w:w="2500" w:type="dxa"/>
            <w:vAlign w:val="bottom"/>
            <w:gridSpan w:val="2"/>
          </w:tcPr>
          <w:p>
            <w:pPr>
              <w:ind w:left="700"/>
              <w:spacing w:after="0" w:line="168" w:lineRule="exact"/>
              <w:rPr>
                <w:sz w:val="20"/>
                <w:szCs w:val="20"/>
                <w:color w:val="auto"/>
              </w:rPr>
            </w:pPr>
            <w:r>
              <w:rPr>
                <w:rFonts w:ascii="Courier New" w:cs="Courier New" w:eastAsia="Courier New" w:hAnsi="Courier New"/>
                <w:sz w:val="15"/>
                <w:szCs w:val="15"/>
                <w:color w:val="auto"/>
              </w:rPr>
              <w:t>800 Series</w:t>
            </w:r>
          </w:p>
        </w:tc>
        <w:tc>
          <w:tcPr>
            <w:tcW w:w="740" w:type="dxa"/>
            <w:vAlign w:val="bottom"/>
          </w:tcPr>
          <w:p>
            <w:pPr>
              <w:spacing w:after="0"/>
              <w:rPr>
                <w:sz w:val="14"/>
                <w:szCs w:val="14"/>
                <w:color w:val="auto"/>
              </w:rPr>
            </w:pP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S</w:t>
            </w:r>
          </w:p>
        </w:tc>
      </w:tr>
      <w:tr>
        <w:trPr>
          <w:trHeight w:val="168"/>
        </w:trPr>
        <w:tc>
          <w:tcPr>
            <w:tcW w:w="2100" w:type="dxa"/>
            <w:vAlign w:val="bottom"/>
          </w:tcPr>
          <w:p>
            <w:pPr>
              <w:spacing w:after="0"/>
              <w:rPr>
                <w:sz w:val="14"/>
                <w:szCs w:val="14"/>
                <w:color w:val="auto"/>
              </w:rPr>
            </w:pPr>
          </w:p>
        </w:tc>
        <w:tc>
          <w:tcPr>
            <w:tcW w:w="2500" w:type="dxa"/>
            <w:vAlign w:val="bottom"/>
            <w:gridSpan w:val="2"/>
          </w:tcPr>
          <w:p>
            <w:pPr>
              <w:ind w:left="700"/>
              <w:spacing w:after="0" w:line="168" w:lineRule="exact"/>
              <w:rPr>
                <w:sz w:val="20"/>
                <w:szCs w:val="20"/>
                <w:color w:val="auto"/>
              </w:rPr>
            </w:pPr>
            <w:r>
              <w:rPr>
                <w:rFonts w:ascii="Courier New" w:cs="Courier New" w:eastAsia="Courier New" w:hAnsi="Courier New"/>
                <w:sz w:val="15"/>
                <w:szCs w:val="15"/>
                <w:color w:val="auto"/>
              </w:rPr>
              <w:t>700 Series</w:t>
            </w:r>
          </w:p>
        </w:tc>
        <w:tc>
          <w:tcPr>
            <w:tcW w:w="740" w:type="dxa"/>
            <w:vAlign w:val="bottom"/>
          </w:tcPr>
          <w:p>
            <w:pPr>
              <w:spacing w:after="0"/>
              <w:rPr>
                <w:sz w:val="14"/>
                <w:szCs w:val="14"/>
                <w:color w:val="auto"/>
              </w:rPr>
            </w:pP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O</w:t>
            </w:r>
          </w:p>
        </w:tc>
      </w:tr>
      <w:tr>
        <w:trPr>
          <w:trHeight w:val="168"/>
        </w:trPr>
        <w:tc>
          <w:tcPr>
            <w:tcW w:w="2100" w:type="dxa"/>
            <w:vAlign w:val="bottom"/>
          </w:tcPr>
          <w:p>
            <w:pPr>
              <w:spacing w:after="0"/>
              <w:rPr>
                <w:sz w:val="14"/>
                <w:szCs w:val="14"/>
                <w:color w:val="auto"/>
              </w:rPr>
            </w:pPr>
          </w:p>
        </w:tc>
        <w:tc>
          <w:tcPr>
            <w:tcW w:w="2500" w:type="dxa"/>
            <w:vAlign w:val="bottom"/>
            <w:gridSpan w:val="2"/>
          </w:tcPr>
          <w:p>
            <w:pPr>
              <w:ind w:left="700"/>
              <w:spacing w:after="0" w:line="168" w:lineRule="exact"/>
              <w:rPr>
                <w:sz w:val="20"/>
                <w:szCs w:val="20"/>
                <w:color w:val="auto"/>
              </w:rPr>
            </w:pPr>
            <w:r>
              <w:rPr>
                <w:rFonts w:ascii="Courier New" w:cs="Courier New" w:eastAsia="Courier New" w:hAnsi="Courier New"/>
                <w:sz w:val="15"/>
                <w:szCs w:val="15"/>
                <w:color w:val="auto"/>
              </w:rPr>
              <w:t>500 Series</w:t>
            </w:r>
          </w:p>
        </w:tc>
        <w:tc>
          <w:tcPr>
            <w:tcW w:w="740" w:type="dxa"/>
            <w:vAlign w:val="bottom"/>
          </w:tcPr>
          <w:p>
            <w:pPr>
              <w:spacing w:after="0"/>
              <w:rPr>
                <w:sz w:val="14"/>
                <w:szCs w:val="14"/>
                <w:color w:val="auto"/>
              </w:rPr>
            </w:pP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O</w:t>
            </w:r>
          </w:p>
        </w:tc>
      </w:tr>
      <w:tr>
        <w:trPr>
          <w:trHeight w:val="168"/>
        </w:trPr>
        <w:tc>
          <w:tcPr>
            <w:tcW w:w="2100" w:type="dxa"/>
            <w:vAlign w:val="bottom"/>
          </w:tcPr>
          <w:p>
            <w:pPr>
              <w:spacing w:after="0"/>
              <w:rPr>
                <w:sz w:val="14"/>
                <w:szCs w:val="14"/>
                <w:color w:val="auto"/>
              </w:rPr>
            </w:pPr>
          </w:p>
        </w:tc>
        <w:tc>
          <w:tcPr>
            <w:tcW w:w="2500" w:type="dxa"/>
            <w:vAlign w:val="bottom"/>
            <w:gridSpan w:val="2"/>
          </w:tcPr>
          <w:p>
            <w:pPr>
              <w:ind w:left="700"/>
              <w:spacing w:after="0" w:line="168" w:lineRule="exact"/>
              <w:rPr>
                <w:sz w:val="20"/>
                <w:szCs w:val="20"/>
                <w:color w:val="auto"/>
              </w:rPr>
            </w:pPr>
            <w:r>
              <w:rPr>
                <w:rFonts w:ascii="Courier New" w:cs="Courier New" w:eastAsia="Courier New" w:hAnsi="Courier New"/>
                <w:sz w:val="15"/>
                <w:szCs w:val="15"/>
                <w:color w:val="auto"/>
              </w:rPr>
              <w:t>300 Series</w:t>
            </w:r>
          </w:p>
        </w:tc>
        <w:tc>
          <w:tcPr>
            <w:tcW w:w="740" w:type="dxa"/>
            <w:vAlign w:val="bottom"/>
          </w:tcPr>
          <w:p>
            <w:pPr>
              <w:spacing w:after="0"/>
              <w:rPr>
                <w:sz w:val="14"/>
                <w:szCs w:val="14"/>
                <w:color w:val="auto"/>
              </w:rPr>
            </w:pP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O</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Daewoo</w:t>
            </w:r>
          </w:p>
        </w:tc>
        <w:tc>
          <w:tcPr>
            <w:tcW w:w="15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Arcadia</w:t>
            </w: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S</w:t>
            </w:r>
          </w:p>
        </w:tc>
      </w:tr>
      <w:tr>
        <w:trPr>
          <w:trHeight w:val="168"/>
        </w:trPr>
        <w:tc>
          <w:tcPr>
            <w:tcW w:w="2100" w:type="dxa"/>
            <w:vAlign w:val="bottom"/>
          </w:tcPr>
          <w:p>
            <w:pPr>
              <w:spacing w:after="0"/>
              <w:rPr>
                <w:sz w:val="14"/>
                <w:szCs w:val="14"/>
                <w:color w:val="auto"/>
              </w:rPr>
            </w:pPr>
          </w:p>
        </w:tc>
        <w:tc>
          <w:tcPr>
            <w:tcW w:w="15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Brougham</w:t>
            </w: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O</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Fiat</w:t>
            </w:r>
          </w:p>
        </w:tc>
        <w:tc>
          <w:tcPr>
            <w:tcW w:w="2500" w:type="dxa"/>
            <w:vAlign w:val="bottom"/>
            <w:gridSpan w:val="2"/>
          </w:tcPr>
          <w:p>
            <w:pPr>
              <w:ind w:left="700"/>
              <w:spacing w:after="0" w:line="168" w:lineRule="exact"/>
              <w:rPr>
                <w:sz w:val="20"/>
                <w:szCs w:val="20"/>
                <w:color w:val="auto"/>
              </w:rPr>
            </w:pPr>
            <w:r>
              <w:rPr>
                <w:rFonts w:ascii="Courier New" w:cs="Courier New" w:eastAsia="Courier New" w:hAnsi="Courier New"/>
                <w:sz w:val="15"/>
                <w:szCs w:val="15"/>
                <w:color w:val="auto"/>
              </w:rPr>
              <w:t>Lancia Kappa</w:t>
            </w:r>
          </w:p>
        </w:tc>
        <w:tc>
          <w:tcPr>
            <w:tcW w:w="740" w:type="dxa"/>
            <w:vAlign w:val="bottom"/>
          </w:tcPr>
          <w:p>
            <w:pPr>
              <w:spacing w:after="0"/>
              <w:rPr>
                <w:sz w:val="14"/>
                <w:szCs w:val="14"/>
                <w:color w:val="auto"/>
              </w:rPr>
            </w:pP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O</w:t>
            </w:r>
          </w:p>
        </w:tc>
      </w:tr>
      <w:tr>
        <w:trPr>
          <w:trHeight w:val="168"/>
        </w:trPr>
        <w:tc>
          <w:tcPr>
            <w:tcW w:w="2100" w:type="dxa"/>
            <w:vAlign w:val="bottom"/>
          </w:tcPr>
          <w:p>
            <w:pPr>
              <w:spacing w:after="0"/>
              <w:rPr>
                <w:sz w:val="14"/>
                <w:szCs w:val="14"/>
                <w:color w:val="auto"/>
              </w:rPr>
            </w:pPr>
          </w:p>
        </w:tc>
        <w:tc>
          <w:tcPr>
            <w:tcW w:w="2500" w:type="dxa"/>
            <w:vAlign w:val="bottom"/>
            <w:gridSpan w:val="2"/>
          </w:tcPr>
          <w:p>
            <w:pPr>
              <w:ind w:left="700"/>
              <w:spacing w:after="0" w:line="168" w:lineRule="exact"/>
              <w:rPr>
                <w:sz w:val="20"/>
                <w:szCs w:val="20"/>
                <w:color w:val="auto"/>
              </w:rPr>
            </w:pPr>
            <w:r>
              <w:rPr>
                <w:rFonts w:ascii="Courier New" w:cs="Courier New" w:eastAsia="Courier New" w:hAnsi="Courier New"/>
                <w:sz w:val="15"/>
                <w:szCs w:val="15"/>
                <w:color w:val="auto"/>
              </w:rPr>
              <w:t>Alfa Romeo 164</w:t>
            </w:r>
          </w:p>
        </w:tc>
        <w:tc>
          <w:tcPr>
            <w:tcW w:w="740" w:type="dxa"/>
            <w:vAlign w:val="bottom"/>
          </w:tcPr>
          <w:p>
            <w:pPr>
              <w:spacing w:after="0"/>
              <w:rPr>
                <w:sz w:val="14"/>
                <w:szCs w:val="14"/>
                <w:color w:val="auto"/>
              </w:rPr>
            </w:pP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O</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Fiat/Brazil</w:t>
            </w:r>
          </w:p>
        </w:tc>
        <w:tc>
          <w:tcPr>
            <w:tcW w:w="15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Tempra</w:t>
            </w: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O</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Honda</w:t>
            </w:r>
          </w:p>
        </w:tc>
        <w:tc>
          <w:tcPr>
            <w:tcW w:w="15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Inspire</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(5 Cyl.)</w:t>
            </w:r>
          </w:p>
        </w:tc>
        <w:tc>
          <w:tcPr>
            <w:tcW w:w="740" w:type="dxa"/>
            <w:vAlign w:val="bottom"/>
          </w:tcPr>
          <w:p>
            <w:pPr>
              <w:spacing w:after="0"/>
              <w:rPr>
                <w:sz w:val="14"/>
                <w:szCs w:val="14"/>
                <w:color w:val="auto"/>
              </w:rPr>
            </w:pP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O</w:t>
            </w:r>
          </w:p>
        </w:tc>
      </w:tr>
      <w:tr>
        <w:trPr>
          <w:trHeight w:val="168"/>
        </w:trPr>
        <w:tc>
          <w:tcPr>
            <w:tcW w:w="2100" w:type="dxa"/>
            <w:vAlign w:val="bottom"/>
          </w:tcPr>
          <w:p>
            <w:pPr>
              <w:spacing w:after="0"/>
              <w:rPr>
                <w:sz w:val="14"/>
                <w:szCs w:val="14"/>
                <w:color w:val="auto"/>
              </w:rPr>
            </w:pPr>
          </w:p>
        </w:tc>
        <w:tc>
          <w:tcPr>
            <w:tcW w:w="15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Inspire</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(6 Cyl.)</w:t>
            </w:r>
          </w:p>
        </w:tc>
        <w:tc>
          <w:tcPr>
            <w:tcW w:w="740" w:type="dxa"/>
            <w:vAlign w:val="bottom"/>
          </w:tcPr>
          <w:p>
            <w:pPr>
              <w:spacing w:after="0"/>
              <w:rPr>
                <w:sz w:val="14"/>
                <w:szCs w:val="14"/>
                <w:color w:val="auto"/>
              </w:rPr>
            </w:pP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S</w:t>
            </w:r>
          </w:p>
        </w:tc>
      </w:tr>
      <w:tr>
        <w:trPr>
          <w:trHeight w:val="168"/>
        </w:trPr>
        <w:tc>
          <w:tcPr>
            <w:tcW w:w="2100" w:type="dxa"/>
            <w:vAlign w:val="bottom"/>
          </w:tcPr>
          <w:p>
            <w:pPr>
              <w:spacing w:after="0"/>
              <w:rPr>
                <w:sz w:val="14"/>
                <w:szCs w:val="14"/>
                <w:color w:val="auto"/>
              </w:rPr>
            </w:pPr>
          </w:p>
        </w:tc>
        <w:tc>
          <w:tcPr>
            <w:tcW w:w="15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Sabre</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(5 Cyl.)</w:t>
            </w:r>
          </w:p>
        </w:tc>
        <w:tc>
          <w:tcPr>
            <w:tcW w:w="740" w:type="dxa"/>
            <w:vAlign w:val="bottom"/>
          </w:tcPr>
          <w:p>
            <w:pPr>
              <w:spacing w:after="0"/>
              <w:rPr>
                <w:sz w:val="14"/>
                <w:szCs w:val="14"/>
                <w:color w:val="auto"/>
              </w:rPr>
            </w:pP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O</w:t>
            </w:r>
          </w:p>
        </w:tc>
      </w:tr>
      <w:tr>
        <w:trPr>
          <w:trHeight w:val="168"/>
        </w:trPr>
        <w:tc>
          <w:tcPr>
            <w:tcW w:w="2100" w:type="dxa"/>
            <w:vAlign w:val="bottom"/>
          </w:tcPr>
          <w:p>
            <w:pPr>
              <w:spacing w:after="0"/>
              <w:rPr>
                <w:sz w:val="14"/>
                <w:szCs w:val="14"/>
                <w:color w:val="auto"/>
              </w:rPr>
            </w:pPr>
          </w:p>
        </w:tc>
        <w:tc>
          <w:tcPr>
            <w:tcW w:w="15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Sabre</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(6 Cyl.)</w:t>
            </w:r>
          </w:p>
        </w:tc>
        <w:tc>
          <w:tcPr>
            <w:tcW w:w="740" w:type="dxa"/>
            <w:vAlign w:val="bottom"/>
          </w:tcPr>
          <w:p>
            <w:pPr>
              <w:spacing w:after="0"/>
              <w:rPr>
                <w:sz w:val="14"/>
                <w:szCs w:val="14"/>
                <w:color w:val="auto"/>
              </w:rPr>
            </w:pP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S</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Hyundai</w:t>
            </w:r>
          </w:p>
        </w:tc>
        <w:tc>
          <w:tcPr>
            <w:tcW w:w="15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Grandeur</w:t>
            </w: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O</w:t>
            </w:r>
          </w:p>
        </w:tc>
      </w:tr>
      <w:tr>
        <w:trPr>
          <w:trHeight w:val="168"/>
        </w:trPr>
        <w:tc>
          <w:tcPr>
            <w:tcW w:w="2100" w:type="dxa"/>
            <w:vAlign w:val="bottom"/>
          </w:tcPr>
          <w:p>
            <w:pPr>
              <w:spacing w:after="0"/>
              <w:rPr>
                <w:sz w:val="14"/>
                <w:szCs w:val="14"/>
                <w:color w:val="auto"/>
              </w:rPr>
            </w:pPr>
          </w:p>
        </w:tc>
        <w:tc>
          <w:tcPr>
            <w:tcW w:w="15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Marcia</w:t>
            </w: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O</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Infiniti</w:t>
            </w:r>
          </w:p>
        </w:tc>
        <w:tc>
          <w:tcPr>
            <w:tcW w:w="15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Q45</w:t>
            </w: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S</w:t>
            </w:r>
          </w:p>
        </w:tc>
      </w:tr>
      <w:tr>
        <w:trPr>
          <w:trHeight w:val="168"/>
        </w:trPr>
        <w:tc>
          <w:tcPr>
            <w:tcW w:w="2100" w:type="dxa"/>
            <w:vAlign w:val="bottom"/>
          </w:tcPr>
          <w:p>
            <w:pPr>
              <w:spacing w:after="0"/>
              <w:rPr>
                <w:sz w:val="14"/>
                <w:szCs w:val="14"/>
                <w:color w:val="auto"/>
              </w:rPr>
            </w:pPr>
          </w:p>
        </w:tc>
        <w:tc>
          <w:tcPr>
            <w:tcW w:w="15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J30</w:t>
            </w: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S</w:t>
            </w:r>
          </w:p>
        </w:tc>
      </w:tr>
      <w:tr>
        <w:trPr>
          <w:trHeight w:val="168"/>
        </w:trPr>
        <w:tc>
          <w:tcPr>
            <w:tcW w:w="2100" w:type="dxa"/>
            <w:vAlign w:val="bottom"/>
          </w:tcPr>
          <w:p>
            <w:pPr>
              <w:spacing w:after="0"/>
              <w:rPr>
                <w:sz w:val="14"/>
                <w:szCs w:val="14"/>
                <w:color w:val="auto"/>
              </w:rPr>
            </w:pPr>
          </w:p>
        </w:tc>
        <w:tc>
          <w:tcPr>
            <w:tcW w:w="15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I30</w:t>
            </w: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O</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KIA Motors Corp.</w:t>
            </w:r>
          </w:p>
        </w:tc>
        <w:tc>
          <w:tcPr>
            <w:tcW w:w="15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Potentia</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(3.0 L)</w:t>
            </w:r>
          </w:p>
        </w:tc>
        <w:tc>
          <w:tcPr>
            <w:tcW w:w="740" w:type="dxa"/>
            <w:vAlign w:val="bottom"/>
          </w:tcPr>
          <w:p>
            <w:pPr>
              <w:spacing w:after="0"/>
              <w:rPr>
                <w:sz w:val="14"/>
                <w:szCs w:val="14"/>
                <w:color w:val="auto"/>
              </w:rPr>
            </w:pP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S</w:t>
            </w:r>
          </w:p>
        </w:tc>
      </w:tr>
      <w:tr>
        <w:trPr>
          <w:trHeight w:val="168"/>
        </w:trPr>
        <w:tc>
          <w:tcPr>
            <w:tcW w:w="2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(Korea)</w:t>
            </w:r>
          </w:p>
        </w:tc>
        <w:tc>
          <w:tcPr>
            <w:tcW w:w="15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Potentia</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(2.2 L)</w:t>
            </w:r>
          </w:p>
        </w:tc>
        <w:tc>
          <w:tcPr>
            <w:tcW w:w="740" w:type="dxa"/>
            <w:vAlign w:val="bottom"/>
          </w:tcPr>
          <w:p>
            <w:pPr>
              <w:spacing w:after="0"/>
              <w:rPr>
                <w:sz w:val="14"/>
                <w:szCs w:val="14"/>
                <w:color w:val="auto"/>
              </w:rPr>
            </w:pP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O</w:t>
            </w:r>
          </w:p>
        </w:tc>
      </w:tr>
      <w:tr>
        <w:trPr>
          <w:trHeight w:val="168"/>
        </w:trPr>
        <w:tc>
          <w:tcPr>
            <w:tcW w:w="2100" w:type="dxa"/>
            <w:vAlign w:val="bottom"/>
          </w:tcPr>
          <w:p>
            <w:pPr>
              <w:spacing w:after="0"/>
              <w:rPr>
                <w:sz w:val="14"/>
                <w:szCs w:val="14"/>
                <w:color w:val="auto"/>
              </w:rPr>
            </w:pPr>
          </w:p>
        </w:tc>
        <w:tc>
          <w:tcPr>
            <w:tcW w:w="15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Credos</w:t>
            </w: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O</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Lexus</w:t>
            </w:r>
          </w:p>
        </w:tc>
        <w:tc>
          <w:tcPr>
            <w:tcW w:w="15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GS300</w:t>
            </w: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O</w:t>
            </w:r>
          </w:p>
        </w:tc>
      </w:tr>
      <w:tr>
        <w:trPr>
          <w:trHeight w:val="168"/>
        </w:trPr>
        <w:tc>
          <w:tcPr>
            <w:tcW w:w="2100" w:type="dxa"/>
            <w:vAlign w:val="bottom"/>
          </w:tcPr>
          <w:p>
            <w:pPr>
              <w:spacing w:after="0"/>
              <w:rPr>
                <w:sz w:val="14"/>
                <w:szCs w:val="14"/>
                <w:color w:val="auto"/>
              </w:rPr>
            </w:pPr>
          </w:p>
        </w:tc>
        <w:tc>
          <w:tcPr>
            <w:tcW w:w="15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GS400</w:t>
            </w: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S</w:t>
            </w:r>
          </w:p>
        </w:tc>
      </w:tr>
      <w:tr>
        <w:trPr>
          <w:trHeight w:val="168"/>
        </w:trPr>
        <w:tc>
          <w:tcPr>
            <w:tcW w:w="2100" w:type="dxa"/>
            <w:vAlign w:val="bottom"/>
          </w:tcPr>
          <w:p>
            <w:pPr>
              <w:spacing w:after="0"/>
              <w:rPr>
                <w:sz w:val="14"/>
                <w:szCs w:val="14"/>
                <w:color w:val="auto"/>
              </w:rPr>
            </w:pPr>
          </w:p>
        </w:tc>
        <w:tc>
          <w:tcPr>
            <w:tcW w:w="15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LS400</w:t>
            </w: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S</w:t>
            </w:r>
          </w:p>
        </w:tc>
      </w:tr>
      <w:tr>
        <w:trPr>
          <w:trHeight w:val="168"/>
        </w:trPr>
        <w:tc>
          <w:tcPr>
            <w:tcW w:w="2100" w:type="dxa"/>
            <w:vAlign w:val="bottom"/>
          </w:tcPr>
          <w:p>
            <w:pPr>
              <w:spacing w:after="0"/>
              <w:rPr>
                <w:sz w:val="14"/>
                <w:szCs w:val="14"/>
                <w:color w:val="auto"/>
              </w:rPr>
            </w:pPr>
          </w:p>
        </w:tc>
        <w:tc>
          <w:tcPr>
            <w:tcW w:w="15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RX300</w:t>
            </w: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S</w:t>
            </w:r>
          </w:p>
        </w:tc>
      </w:tr>
      <w:tr>
        <w:trPr>
          <w:trHeight w:val="168"/>
        </w:trPr>
        <w:tc>
          <w:tcPr>
            <w:tcW w:w="2100" w:type="dxa"/>
            <w:vAlign w:val="bottom"/>
          </w:tcPr>
          <w:p>
            <w:pPr>
              <w:spacing w:after="0"/>
              <w:rPr>
                <w:sz w:val="14"/>
                <w:szCs w:val="14"/>
                <w:color w:val="auto"/>
              </w:rPr>
            </w:pPr>
          </w:p>
        </w:tc>
        <w:tc>
          <w:tcPr>
            <w:tcW w:w="15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SC300</w:t>
            </w: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S</w:t>
            </w:r>
          </w:p>
        </w:tc>
      </w:tr>
      <w:tr>
        <w:trPr>
          <w:trHeight w:val="168"/>
        </w:trPr>
        <w:tc>
          <w:tcPr>
            <w:tcW w:w="2100" w:type="dxa"/>
            <w:vAlign w:val="bottom"/>
          </w:tcPr>
          <w:p>
            <w:pPr>
              <w:spacing w:after="0"/>
              <w:rPr>
                <w:sz w:val="14"/>
                <w:szCs w:val="14"/>
                <w:color w:val="auto"/>
              </w:rPr>
            </w:pPr>
          </w:p>
        </w:tc>
        <w:tc>
          <w:tcPr>
            <w:tcW w:w="15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SC400</w:t>
            </w: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S</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Mercedes-Benz</w:t>
            </w:r>
          </w:p>
        </w:tc>
        <w:tc>
          <w:tcPr>
            <w:tcW w:w="2500" w:type="dxa"/>
            <w:vAlign w:val="bottom"/>
            <w:gridSpan w:val="2"/>
          </w:tcPr>
          <w:p>
            <w:pPr>
              <w:ind w:left="700"/>
              <w:spacing w:after="0" w:line="168" w:lineRule="exact"/>
              <w:rPr>
                <w:sz w:val="20"/>
                <w:szCs w:val="20"/>
                <w:color w:val="auto"/>
              </w:rPr>
            </w:pPr>
            <w:r>
              <w:rPr>
                <w:rFonts w:ascii="Courier New" w:cs="Courier New" w:eastAsia="Courier New" w:hAnsi="Courier New"/>
                <w:sz w:val="15"/>
                <w:szCs w:val="15"/>
                <w:color w:val="auto"/>
              </w:rPr>
              <w:t>S Class Coupe</w:t>
            </w:r>
          </w:p>
        </w:tc>
        <w:tc>
          <w:tcPr>
            <w:tcW w:w="740" w:type="dxa"/>
            <w:vAlign w:val="bottom"/>
          </w:tcPr>
          <w:p>
            <w:pPr>
              <w:spacing w:after="0"/>
              <w:rPr>
                <w:sz w:val="14"/>
                <w:szCs w:val="14"/>
                <w:color w:val="auto"/>
              </w:rPr>
            </w:pP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S</w:t>
            </w:r>
          </w:p>
        </w:tc>
      </w:tr>
      <w:tr>
        <w:trPr>
          <w:trHeight w:val="168"/>
        </w:trPr>
        <w:tc>
          <w:tcPr>
            <w:tcW w:w="2100" w:type="dxa"/>
            <w:vAlign w:val="bottom"/>
          </w:tcPr>
          <w:p>
            <w:pPr>
              <w:spacing w:after="0"/>
              <w:rPr>
                <w:sz w:val="14"/>
                <w:szCs w:val="14"/>
                <w:color w:val="auto"/>
              </w:rPr>
            </w:pPr>
          </w:p>
        </w:tc>
        <w:tc>
          <w:tcPr>
            <w:tcW w:w="2500" w:type="dxa"/>
            <w:vAlign w:val="bottom"/>
            <w:gridSpan w:val="2"/>
          </w:tcPr>
          <w:p>
            <w:pPr>
              <w:ind w:left="700"/>
              <w:spacing w:after="0" w:line="168" w:lineRule="exact"/>
              <w:rPr>
                <w:sz w:val="20"/>
                <w:szCs w:val="20"/>
                <w:color w:val="auto"/>
              </w:rPr>
            </w:pPr>
            <w:r>
              <w:rPr>
                <w:rFonts w:ascii="Courier New" w:cs="Courier New" w:eastAsia="Courier New" w:hAnsi="Courier New"/>
                <w:sz w:val="15"/>
                <w:szCs w:val="15"/>
                <w:color w:val="auto"/>
              </w:rPr>
              <w:t>S Class Sedans</w:t>
            </w:r>
          </w:p>
        </w:tc>
        <w:tc>
          <w:tcPr>
            <w:tcW w:w="740" w:type="dxa"/>
            <w:vAlign w:val="bottom"/>
          </w:tcPr>
          <w:p>
            <w:pPr>
              <w:spacing w:after="0"/>
              <w:rPr>
                <w:sz w:val="14"/>
                <w:szCs w:val="14"/>
                <w:color w:val="auto"/>
              </w:rPr>
            </w:pP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O</w:t>
            </w:r>
          </w:p>
        </w:tc>
      </w:tr>
      <w:tr>
        <w:trPr>
          <w:trHeight w:val="168"/>
        </w:trPr>
        <w:tc>
          <w:tcPr>
            <w:tcW w:w="2100" w:type="dxa"/>
            <w:vAlign w:val="bottom"/>
          </w:tcPr>
          <w:p>
            <w:pPr>
              <w:spacing w:after="0"/>
              <w:rPr>
                <w:sz w:val="14"/>
                <w:szCs w:val="14"/>
                <w:color w:val="auto"/>
              </w:rPr>
            </w:pPr>
          </w:p>
        </w:tc>
        <w:tc>
          <w:tcPr>
            <w:tcW w:w="2500" w:type="dxa"/>
            <w:vAlign w:val="bottom"/>
            <w:gridSpan w:val="2"/>
          </w:tcPr>
          <w:p>
            <w:pPr>
              <w:ind w:left="700"/>
              <w:spacing w:after="0" w:line="168" w:lineRule="exact"/>
              <w:rPr>
                <w:sz w:val="20"/>
                <w:szCs w:val="20"/>
                <w:color w:val="auto"/>
              </w:rPr>
            </w:pPr>
            <w:r>
              <w:rPr>
                <w:rFonts w:ascii="Courier New" w:cs="Courier New" w:eastAsia="Courier New" w:hAnsi="Courier New"/>
                <w:sz w:val="15"/>
                <w:szCs w:val="15"/>
                <w:color w:val="auto"/>
              </w:rPr>
              <w:t>SL Roadster</w:t>
            </w:r>
          </w:p>
        </w:tc>
        <w:tc>
          <w:tcPr>
            <w:tcW w:w="740" w:type="dxa"/>
            <w:vAlign w:val="bottom"/>
          </w:tcPr>
          <w:p>
            <w:pPr>
              <w:spacing w:after="0"/>
              <w:rPr>
                <w:sz w:val="14"/>
                <w:szCs w:val="14"/>
                <w:color w:val="auto"/>
              </w:rPr>
            </w:pP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O</w:t>
            </w:r>
          </w:p>
        </w:tc>
      </w:tr>
      <w:tr>
        <w:trPr>
          <w:trHeight w:val="168"/>
        </w:trPr>
        <w:tc>
          <w:tcPr>
            <w:tcW w:w="2100" w:type="dxa"/>
            <w:vAlign w:val="bottom"/>
          </w:tcPr>
          <w:p>
            <w:pPr>
              <w:spacing w:after="0"/>
              <w:rPr>
                <w:sz w:val="14"/>
                <w:szCs w:val="14"/>
                <w:color w:val="auto"/>
              </w:rPr>
            </w:pPr>
          </w:p>
        </w:tc>
        <w:tc>
          <w:tcPr>
            <w:tcW w:w="2500" w:type="dxa"/>
            <w:vAlign w:val="bottom"/>
            <w:gridSpan w:val="2"/>
          </w:tcPr>
          <w:p>
            <w:pPr>
              <w:ind w:left="700"/>
              <w:spacing w:after="0" w:line="168" w:lineRule="exact"/>
              <w:rPr>
                <w:sz w:val="20"/>
                <w:szCs w:val="20"/>
                <w:color w:val="auto"/>
              </w:rPr>
            </w:pPr>
            <w:r>
              <w:rPr>
                <w:rFonts w:ascii="Courier New" w:cs="Courier New" w:eastAsia="Courier New" w:hAnsi="Courier New"/>
                <w:sz w:val="15"/>
                <w:szCs w:val="15"/>
                <w:color w:val="auto"/>
              </w:rPr>
              <w:t>E Class Convertible</w:t>
            </w:r>
          </w:p>
        </w:tc>
        <w:tc>
          <w:tcPr>
            <w:tcW w:w="740" w:type="dxa"/>
            <w:vAlign w:val="bottom"/>
          </w:tcPr>
          <w:p>
            <w:pPr>
              <w:spacing w:after="0"/>
              <w:rPr>
                <w:sz w:val="14"/>
                <w:szCs w:val="14"/>
                <w:color w:val="auto"/>
              </w:rPr>
            </w:pP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O</w:t>
            </w:r>
          </w:p>
        </w:tc>
      </w:tr>
      <w:tr>
        <w:trPr>
          <w:trHeight w:val="168"/>
        </w:trPr>
        <w:tc>
          <w:tcPr>
            <w:tcW w:w="2100" w:type="dxa"/>
            <w:vAlign w:val="bottom"/>
          </w:tcPr>
          <w:p>
            <w:pPr>
              <w:spacing w:after="0"/>
              <w:rPr>
                <w:sz w:val="14"/>
                <w:szCs w:val="14"/>
                <w:color w:val="auto"/>
              </w:rPr>
            </w:pPr>
          </w:p>
        </w:tc>
        <w:tc>
          <w:tcPr>
            <w:tcW w:w="2500" w:type="dxa"/>
            <w:vAlign w:val="bottom"/>
            <w:gridSpan w:val="2"/>
          </w:tcPr>
          <w:p>
            <w:pPr>
              <w:ind w:left="700"/>
              <w:spacing w:after="0" w:line="168" w:lineRule="exact"/>
              <w:rPr>
                <w:sz w:val="20"/>
                <w:szCs w:val="20"/>
                <w:color w:val="auto"/>
              </w:rPr>
            </w:pPr>
            <w:r>
              <w:rPr>
                <w:rFonts w:ascii="Courier New" w:cs="Courier New" w:eastAsia="Courier New" w:hAnsi="Courier New"/>
                <w:sz w:val="15"/>
                <w:szCs w:val="15"/>
                <w:color w:val="auto"/>
              </w:rPr>
              <w:t>E Class Sedan</w:t>
            </w:r>
          </w:p>
        </w:tc>
        <w:tc>
          <w:tcPr>
            <w:tcW w:w="740" w:type="dxa"/>
            <w:vAlign w:val="bottom"/>
          </w:tcPr>
          <w:p>
            <w:pPr>
              <w:spacing w:after="0"/>
              <w:rPr>
                <w:sz w:val="14"/>
                <w:szCs w:val="14"/>
                <w:color w:val="auto"/>
              </w:rPr>
            </w:pP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O</w:t>
            </w:r>
          </w:p>
        </w:tc>
      </w:tr>
      <w:tr>
        <w:trPr>
          <w:trHeight w:val="168"/>
        </w:trPr>
        <w:tc>
          <w:tcPr>
            <w:tcW w:w="2100" w:type="dxa"/>
            <w:vAlign w:val="bottom"/>
          </w:tcPr>
          <w:p>
            <w:pPr>
              <w:spacing w:after="0"/>
              <w:rPr>
                <w:sz w:val="14"/>
                <w:szCs w:val="14"/>
                <w:color w:val="auto"/>
              </w:rPr>
            </w:pPr>
          </w:p>
        </w:tc>
        <w:tc>
          <w:tcPr>
            <w:tcW w:w="2500" w:type="dxa"/>
            <w:vAlign w:val="bottom"/>
            <w:gridSpan w:val="2"/>
          </w:tcPr>
          <w:p>
            <w:pPr>
              <w:ind w:left="700"/>
              <w:spacing w:after="0" w:line="168" w:lineRule="exact"/>
              <w:rPr>
                <w:sz w:val="20"/>
                <w:szCs w:val="20"/>
                <w:color w:val="auto"/>
              </w:rPr>
            </w:pPr>
            <w:r>
              <w:rPr>
                <w:rFonts w:ascii="Courier New" w:cs="Courier New" w:eastAsia="Courier New" w:hAnsi="Courier New"/>
                <w:sz w:val="15"/>
                <w:szCs w:val="15"/>
                <w:color w:val="auto"/>
              </w:rPr>
              <w:t>C Class Sedan</w:t>
            </w:r>
          </w:p>
        </w:tc>
        <w:tc>
          <w:tcPr>
            <w:tcW w:w="740" w:type="dxa"/>
            <w:vAlign w:val="bottom"/>
          </w:tcPr>
          <w:p>
            <w:pPr>
              <w:spacing w:after="0"/>
              <w:rPr>
                <w:sz w:val="14"/>
                <w:szCs w:val="14"/>
                <w:color w:val="auto"/>
              </w:rPr>
            </w:pP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O</w:t>
            </w:r>
          </w:p>
        </w:tc>
      </w:tr>
      <w:tr>
        <w:trPr>
          <w:trHeight w:val="168"/>
        </w:trPr>
        <w:tc>
          <w:tcPr>
            <w:tcW w:w="2100" w:type="dxa"/>
            <w:vAlign w:val="bottom"/>
          </w:tcPr>
          <w:p>
            <w:pPr>
              <w:spacing w:after="0"/>
              <w:rPr>
                <w:sz w:val="14"/>
                <w:szCs w:val="14"/>
                <w:color w:val="auto"/>
              </w:rPr>
            </w:pPr>
          </w:p>
        </w:tc>
        <w:tc>
          <w:tcPr>
            <w:tcW w:w="15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w w:val="96"/>
              </w:rPr>
              <w:t>CLK Coupe</w:t>
            </w: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O</w:t>
            </w:r>
          </w:p>
        </w:tc>
      </w:tr>
    </w:tbl>
    <w:p>
      <w:pPr>
        <w:sectPr>
          <w:pgSz w:w="11900" w:h="16838" w:orient="portrait"/>
          <w:cols w:equalWidth="0" w:num="1">
            <w:col w:w="10239"/>
          </w:cols>
          <w:pgMar w:left="220" w:top="281" w:right="1440"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620" w:type="dxa"/>
            <w:vAlign w:val="bottom"/>
          </w:tcPr>
          <w:p>
            <w:pPr>
              <w:spacing w:after="0"/>
              <w:rPr>
                <w:sz w:val="20"/>
                <w:szCs w:val="20"/>
                <w:color w:val="auto"/>
              </w:rPr>
            </w:pPr>
            <w:r>
              <w:rPr>
                <w:rFonts w:ascii="Courier New" w:cs="Courier New" w:eastAsia="Courier New" w:hAnsi="Courier New"/>
                <w:sz w:val="15"/>
                <w:szCs w:val="15"/>
                <w:color w:val="auto"/>
              </w:rPr>
              <w:t>Mitsubishi</w:t>
            </w:r>
          </w:p>
        </w:tc>
        <w:tc>
          <w:tcPr>
            <w:tcW w:w="3120" w:type="dxa"/>
            <w:vAlign w:val="bottom"/>
          </w:tcPr>
          <w:p>
            <w:pPr>
              <w:ind w:left="1180"/>
              <w:spacing w:after="0"/>
              <w:rPr>
                <w:sz w:val="20"/>
                <w:szCs w:val="20"/>
                <w:color w:val="auto"/>
              </w:rPr>
            </w:pPr>
            <w:r>
              <w:rPr>
                <w:rFonts w:ascii="Courier New" w:cs="Courier New" w:eastAsia="Courier New" w:hAnsi="Courier New"/>
                <w:sz w:val="15"/>
                <w:szCs w:val="15"/>
                <w:color w:val="auto"/>
              </w:rPr>
              <w:t>Diamante</w:t>
            </w:r>
          </w:p>
        </w:tc>
        <w:tc>
          <w:tcPr>
            <w:tcW w:w="700" w:type="dxa"/>
            <w:vAlign w:val="bottom"/>
          </w:tcPr>
          <w:p>
            <w:pPr>
              <w:spacing w:after="0"/>
              <w:rPr>
                <w:sz w:val="14"/>
                <w:szCs w:val="14"/>
                <w:color w:val="auto"/>
              </w:rPr>
            </w:pP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O</w:t>
            </w:r>
          </w:p>
        </w:tc>
      </w:tr>
      <w:tr>
        <w:trPr>
          <w:trHeight w:val="168"/>
        </w:trPr>
        <w:tc>
          <w:tcPr>
            <w:tcW w:w="1620" w:type="dxa"/>
            <w:vAlign w:val="bottom"/>
          </w:tcPr>
          <w:p>
            <w:pPr>
              <w:spacing w:after="0" w:line="168" w:lineRule="exact"/>
              <w:rPr>
                <w:sz w:val="20"/>
                <w:szCs w:val="20"/>
                <w:color w:val="auto"/>
              </w:rPr>
            </w:pPr>
            <w:r>
              <w:rPr>
                <w:rFonts w:ascii="Courier New" w:cs="Courier New" w:eastAsia="Courier New" w:hAnsi="Courier New"/>
                <w:sz w:val="15"/>
                <w:szCs w:val="15"/>
                <w:color w:val="auto"/>
              </w:rPr>
              <w:t>Nissan</w:t>
            </w:r>
          </w:p>
        </w:tc>
        <w:tc>
          <w:tcPr>
            <w:tcW w:w="3120" w:type="dxa"/>
            <w:vAlign w:val="bottom"/>
          </w:tcPr>
          <w:p>
            <w:pPr>
              <w:ind w:left="1180"/>
              <w:spacing w:after="0" w:line="168" w:lineRule="exact"/>
              <w:rPr>
                <w:sz w:val="20"/>
                <w:szCs w:val="20"/>
                <w:color w:val="auto"/>
              </w:rPr>
            </w:pPr>
            <w:r>
              <w:rPr>
                <w:rFonts w:ascii="Courier New" w:cs="Courier New" w:eastAsia="Courier New" w:hAnsi="Courier New"/>
                <w:sz w:val="15"/>
                <w:szCs w:val="15"/>
                <w:color w:val="auto"/>
              </w:rPr>
              <w:t>Cima</w:t>
            </w:r>
          </w:p>
        </w:tc>
        <w:tc>
          <w:tcPr>
            <w:tcW w:w="700" w:type="dxa"/>
            <w:vAlign w:val="bottom"/>
          </w:tcPr>
          <w:p>
            <w:pPr>
              <w:spacing w:after="0"/>
              <w:rPr>
                <w:sz w:val="14"/>
                <w:szCs w:val="14"/>
                <w:color w:val="auto"/>
              </w:rPr>
            </w:pP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O</w:t>
            </w:r>
          </w:p>
        </w:tc>
      </w:tr>
      <w:tr>
        <w:trPr>
          <w:trHeight w:val="168"/>
        </w:trPr>
        <w:tc>
          <w:tcPr>
            <w:tcW w:w="1620" w:type="dxa"/>
            <w:vAlign w:val="bottom"/>
          </w:tcPr>
          <w:p>
            <w:pPr>
              <w:spacing w:after="0"/>
              <w:rPr>
                <w:sz w:val="14"/>
                <w:szCs w:val="14"/>
                <w:color w:val="auto"/>
              </w:rPr>
            </w:pPr>
          </w:p>
        </w:tc>
        <w:tc>
          <w:tcPr>
            <w:tcW w:w="3120" w:type="dxa"/>
            <w:vAlign w:val="bottom"/>
          </w:tcPr>
          <w:p>
            <w:pPr>
              <w:ind w:left="1180"/>
              <w:spacing w:after="0" w:line="168" w:lineRule="exact"/>
              <w:rPr>
                <w:sz w:val="20"/>
                <w:szCs w:val="20"/>
                <w:color w:val="auto"/>
              </w:rPr>
            </w:pPr>
            <w:r>
              <w:rPr>
                <w:rFonts w:ascii="Courier New" w:cs="Courier New" w:eastAsia="Courier New" w:hAnsi="Courier New"/>
                <w:sz w:val="15"/>
                <w:szCs w:val="15"/>
                <w:color w:val="auto"/>
              </w:rPr>
              <w:t>Cedric</w:t>
            </w:r>
          </w:p>
        </w:tc>
        <w:tc>
          <w:tcPr>
            <w:tcW w:w="700" w:type="dxa"/>
            <w:vAlign w:val="bottom"/>
          </w:tcPr>
          <w:p>
            <w:pPr>
              <w:spacing w:after="0"/>
              <w:rPr>
                <w:sz w:val="14"/>
                <w:szCs w:val="14"/>
                <w:color w:val="auto"/>
              </w:rPr>
            </w:pP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O</w:t>
            </w:r>
          </w:p>
        </w:tc>
      </w:tr>
      <w:tr>
        <w:trPr>
          <w:trHeight w:val="168"/>
        </w:trPr>
        <w:tc>
          <w:tcPr>
            <w:tcW w:w="1620" w:type="dxa"/>
            <w:vAlign w:val="bottom"/>
          </w:tcPr>
          <w:p>
            <w:pPr>
              <w:spacing w:after="0"/>
              <w:rPr>
                <w:sz w:val="14"/>
                <w:szCs w:val="14"/>
                <w:color w:val="auto"/>
              </w:rPr>
            </w:pPr>
          </w:p>
        </w:tc>
        <w:tc>
          <w:tcPr>
            <w:tcW w:w="3120" w:type="dxa"/>
            <w:vAlign w:val="bottom"/>
          </w:tcPr>
          <w:p>
            <w:pPr>
              <w:ind w:left="1180"/>
              <w:spacing w:after="0" w:line="168" w:lineRule="exact"/>
              <w:rPr>
                <w:sz w:val="20"/>
                <w:szCs w:val="20"/>
                <w:color w:val="auto"/>
              </w:rPr>
            </w:pPr>
            <w:r>
              <w:rPr>
                <w:rFonts w:ascii="Courier New" w:cs="Courier New" w:eastAsia="Courier New" w:hAnsi="Courier New"/>
                <w:sz w:val="15"/>
                <w:szCs w:val="15"/>
                <w:color w:val="auto"/>
              </w:rPr>
              <w:t>Gloria</w:t>
            </w:r>
          </w:p>
        </w:tc>
        <w:tc>
          <w:tcPr>
            <w:tcW w:w="700" w:type="dxa"/>
            <w:vAlign w:val="bottom"/>
          </w:tcPr>
          <w:p>
            <w:pPr>
              <w:spacing w:after="0"/>
              <w:rPr>
                <w:sz w:val="14"/>
                <w:szCs w:val="14"/>
                <w:color w:val="auto"/>
              </w:rPr>
            </w:pP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O</w:t>
            </w:r>
          </w:p>
        </w:tc>
      </w:tr>
      <w:tr>
        <w:trPr>
          <w:trHeight w:val="168"/>
        </w:trPr>
        <w:tc>
          <w:tcPr>
            <w:tcW w:w="1620" w:type="dxa"/>
            <w:vAlign w:val="bottom"/>
          </w:tcPr>
          <w:p>
            <w:pPr>
              <w:spacing w:after="0"/>
              <w:rPr>
                <w:sz w:val="14"/>
                <w:szCs w:val="14"/>
                <w:color w:val="auto"/>
              </w:rPr>
            </w:pPr>
          </w:p>
        </w:tc>
        <w:tc>
          <w:tcPr>
            <w:tcW w:w="3120" w:type="dxa"/>
            <w:vAlign w:val="bottom"/>
          </w:tcPr>
          <w:p>
            <w:pPr>
              <w:ind w:left="1180"/>
              <w:spacing w:after="0" w:line="168" w:lineRule="exact"/>
              <w:rPr>
                <w:sz w:val="20"/>
                <w:szCs w:val="20"/>
                <w:color w:val="auto"/>
              </w:rPr>
            </w:pPr>
            <w:r>
              <w:rPr>
                <w:rFonts w:ascii="Courier New" w:cs="Courier New" w:eastAsia="Courier New" w:hAnsi="Courier New"/>
                <w:sz w:val="15"/>
                <w:szCs w:val="15"/>
                <w:color w:val="auto"/>
              </w:rPr>
              <w:t>Leopard</w:t>
            </w:r>
          </w:p>
        </w:tc>
        <w:tc>
          <w:tcPr>
            <w:tcW w:w="700" w:type="dxa"/>
            <w:vAlign w:val="bottom"/>
          </w:tcPr>
          <w:p>
            <w:pPr>
              <w:spacing w:after="0"/>
              <w:rPr>
                <w:sz w:val="14"/>
                <w:szCs w:val="14"/>
                <w:color w:val="auto"/>
              </w:rPr>
            </w:pP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O</w:t>
            </w:r>
          </w:p>
        </w:tc>
      </w:tr>
      <w:tr>
        <w:trPr>
          <w:trHeight w:val="168"/>
        </w:trPr>
        <w:tc>
          <w:tcPr>
            <w:tcW w:w="1620" w:type="dxa"/>
            <w:vAlign w:val="bottom"/>
          </w:tcPr>
          <w:p>
            <w:pPr>
              <w:spacing w:after="0"/>
              <w:rPr>
                <w:sz w:val="14"/>
                <w:szCs w:val="14"/>
                <w:color w:val="auto"/>
              </w:rPr>
            </w:pPr>
          </w:p>
        </w:tc>
        <w:tc>
          <w:tcPr>
            <w:tcW w:w="3120" w:type="dxa"/>
            <w:vAlign w:val="bottom"/>
          </w:tcPr>
          <w:p>
            <w:pPr>
              <w:ind w:left="1180"/>
              <w:spacing w:after="0" w:line="168" w:lineRule="exact"/>
              <w:rPr>
                <w:sz w:val="20"/>
                <w:szCs w:val="20"/>
                <w:color w:val="auto"/>
              </w:rPr>
            </w:pPr>
            <w:r>
              <w:rPr>
                <w:rFonts w:ascii="Courier New" w:cs="Courier New" w:eastAsia="Courier New" w:hAnsi="Courier New"/>
                <w:sz w:val="15"/>
                <w:szCs w:val="15"/>
                <w:color w:val="auto"/>
              </w:rPr>
              <w:t>Laurel</w:t>
            </w:r>
          </w:p>
        </w:tc>
        <w:tc>
          <w:tcPr>
            <w:tcW w:w="700" w:type="dxa"/>
            <w:vAlign w:val="bottom"/>
          </w:tcPr>
          <w:p>
            <w:pPr>
              <w:spacing w:after="0"/>
              <w:rPr>
                <w:sz w:val="14"/>
                <w:szCs w:val="14"/>
                <w:color w:val="auto"/>
              </w:rPr>
            </w:pP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O</w:t>
            </w:r>
          </w:p>
        </w:tc>
      </w:tr>
      <w:tr>
        <w:trPr>
          <w:trHeight w:val="168"/>
        </w:trPr>
        <w:tc>
          <w:tcPr>
            <w:tcW w:w="1620" w:type="dxa"/>
            <w:vAlign w:val="bottom"/>
          </w:tcPr>
          <w:p>
            <w:pPr>
              <w:spacing w:after="0" w:line="168" w:lineRule="exact"/>
              <w:rPr>
                <w:sz w:val="20"/>
                <w:szCs w:val="20"/>
                <w:color w:val="auto"/>
              </w:rPr>
            </w:pPr>
            <w:r>
              <w:rPr>
                <w:rFonts w:ascii="Courier New" w:cs="Courier New" w:eastAsia="Courier New" w:hAnsi="Courier New"/>
                <w:sz w:val="15"/>
                <w:szCs w:val="15"/>
                <w:color w:val="auto"/>
              </w:rPr>
              <w:t>Opel</w:t>
            </w:r>
          </w:p>
        </w:tc>
        <w:tc>
          <w:tcPr>
            <w:tcW w:w="3120" w:type="dxa"/>
            <w:vAlign w:val="bottom"/>
          </w:tcPr>
          <w:p>
            <w:pPr>
              <w:ind w:left="1180"/>
              <w:spacing w:after="0" w:line="168" w:lineRule="exact"/>
              <w:rPr>
                <w:sz w:val="20"/>
                <w:szCs w:val="20"/>
                <w:color w:val="auto"/>
              </w:rPr>
            </w:pPr>
            <w:r>
              <w:rPr>
                <w:rFonts w:ascii="Courier New" w:cs="Courier New" w:eastAsia="Courier New" w:hAnsi="Courier New"/>
                <w:sz w:val="15"/>
                <w:szCs w:val="15"/>
                <w:color w:val="auto"/>
              </w:rPr>
              <w:t>Omega</w:t>
            </w:r>
          </w:p>
        </w:tc>
        <w:tc>
          <w:tcPr>
            <w:tcW w:w="700" w:type="dxa"/>
            <w:vAlign w:val="bottom"/>
          </w:tcPr>
          <w:p>
            <w:pPr>
              <w:spacing w:after="0"/>
              <w:rPr>
                <w:sz w:val="14"/>
                <w:szCs w:val="14"/>
                <w:color w:val="auto"/>
              </w:rPr>
            </w:pP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O</w:t>
            </w:r>
          </w:p>
        </w:tc>
      </w:tr>
      <w:tr>
        <w:trPr>
          <w:trHeight w:val="168"/>
        </w:trPr>
        <w:tc>
          <w:tcPr>
            <w:tcW w:w="1620" w:type="dxa"/>
            <w:vAlign w:val="bottom"/>
          </w:tcPr>
          <w:p>
            <w:pPr>
              <w:spacing w:after="0" w:line="168" w:lineRule="exact"/>
              <w:rPr>
                <w:sz w:val="20"/>
                <w:szCs w:val="20"/>
                <w:color w:val="auto"/>
              </w:rPr>
            </w:pPr>
            <w:r>
              <w:rPr>
                <w:rFonts w:ascii="Courier New" w:cs="Courier New" w:eastAsia="Courier New" w:hAnsi="Courier New"/>
                <w:sz w:val="15"/>
                <w:szCs w:val="15"/>
                <w:color w:val="auto"/>
              </w:rPr>
              <w:t>Porsche</w:t>
            </w:r>
          </w:p>
        </w:tc>
        <w:tc>
          <w:tcPr>
            <w:tcW w:w="3120" w:type="dxa"/>
            <w:vAlign w:val="bottom"/>
          </w:tcPr>
          <w:p>
            <w:pPr>
              <w:ind w:left="1180"/>
              <w:spacing w:after="0" w:line="168" w:lineRule="exact"/>
              <w:rPr>
                <w:sz w:val="20"/>
                <w:szCs w:val="20"/>
                <w:color w:val="auto"/>
              </w:rPr>
            </w:pPr>
            <w:r>
              <w:rPr>
                <w:rFonts w:ascii="Courier New" w:cs="Courier New" w:eastAsia="Courier New" w:hAnsi="Courier New"/>
                <w:sz w:val="15"/>
                <w:szCs w:val="15"/>
                <w:color w:val="auto"/>
              </w:rPr>
              <w:t>911</w:t>
            </w:r>
          </w:p>
        </w:tc>
        <w:tc>
          <w:tcPr>
            <w:tcW w:w="700" w:type="dxa"/>
            <w:vAlign w:val="bottom"/>
          </w:tcPr>
          <w:p>
            <w:pPr>
              <w:spacing w:after="0"/>
              <w:rPr>
                <w:sz w:val="14"/>
                <w:szCs w:val="14"/>
                <w:color w:val="auto"/>
              </w:rPr>
            </w:pP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O</w:t>
            </w:r>
          </w:p>
        </w:tc>
      </w:tr>
      <w:tr>
        <w:trPr>
          <w:trHeight w:val="168"/>
        </w:trPr>
        <w:tc>
          <w:tcPr>
            <w:tcW w:w="1620" w:type="dxa"/>
            <w:vAlign w:val="bottom"/>
          </w:tcPr>
          <w:p>
            <w:pPr>
              <w:spacing w:after="0" w:line="168" w:lineRule="exact"/>
              <w:rPr>
                <w:sz w:val="20"/>
                <w:szCs w:val="20"/>
                <w:color w:val="auto"/>
              </w:rPr>
            </w:pPr>
            <w:r>
              <w:rPr>
                <w:rFonts w:ascii="Courier New" w:cs="Courier New" w:eastAsia="Courier New" w:hAnsi="Courier New"/>
                <w:sz w:val="15"/>
                <w:szCs w:val="15"/>
                <w:color w:val="auto"/>
              </w:rPr>
              <w:t>Rolls Royce</w:t>
            </w:r>
          </w:p>
        </w:tc>
        <w:tc>
          <w:tcPr>
            <w:tcW w:w="3120" w:type="dxa"/>
            <w:vAlign w:val="bottom"/>
          </w:tcPr>
          <w:p>
            <w:pPr>
              <w:spacing w:after="0"/>
              <w:rPr>
                <w:sz w:val="14"/>
                <w:szCs w:val="14"/>
                <w:color w:val="auto"/>
              </w:rPr>
            </w:pP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(RKE)</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S</w:t>
            </w:r>
          </w:p>
        </w:tc>
      </w:tr>
      <w:tr>
        <w:trPr>
          <w:trHeight w:val="168"/>
        </w:trPr>
        <w:tc>
          <w:tcPr>
            <w:tcW w:w="1620" w:type="dxa"/>
            <w:vAlign w:val="bottom"/>
          </w:tcPr>
          <w:p>
            <w:pPr>
              <w:spacing w:after="0" w:line="168" w:lineRule="exact"/>
              <w:rPr>
                <w:sz w:val="20"/>
                <w:szCs w:val="20"/>
                <w:color w:val="auto"/>
              </w:rPr>
            </w:pPr>
            <w:r>
              <w:rPr>
                <w:rFonts w:ascii="Courier New" w:cs="Courier New" w:eastAsia="Courier New" w:hAnsi="Courier New"/>
                <w:sz w:val="15"/>
                <w:szCs w:val="15"/>
                <w:color w:val="auto"/>
              </w:rPr>
              <w:t>Toyota</w:t>
            </w:r>
          </w:p>
        </w:tc>
        <w:tc>
          <w:tcPr>
            <w:tcW w:w="3120" w:type="dxa"/>
            <w:vAlign w:val="bottom"/>
          </w:tcPr>
          <w:p>
            <w:pPr>
              <w:ind w:left="1180"/>
              <w:spacing w:after="0" w:line="168" w:lineRule="exact"/>
              <w:rPr>
                <w:sz w:val="20"/>
                <w:szCs w:val="20"/>
                <w:color w:val="auto"/>
              </w:rPr>
            </w:pPr>
            <w:r>
              <w:rPr>
                <w:rFonts w:ascii="Courier New" w:cs="Courier New" w:eastAsia="Courier New" w:hAnsi="Courier New"/>
                <w:sz w:val="15"/>
                <w:szCs w:val="15"/>
                <w:color w:val="auto"/>
              </w:rPr>
              <w:t>4-Runner**</w:t>
            </w:r>
          </w:p>
        </w:tc>
        <w:tc>
          <w:tcPr>
            <w:tcW w:w="700" w:type="dxa"/>
            <w:vAlign w:val="bottom"/>
          </w:tcPr>
          <w:p>
            <w:pPr>
              <w:spacing w:after="0"/>
              <w:rPr>
                <w:sz w:val="14"/>
                <w:szCs w:val="14"/>
                <w:color w:val="auto"/>
              </w:rPr>
            </w:pP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O</w:t>
            </w:r>
          </w:p>
        </w:tc>
      </w:tr>
      <w:tr>
        <w:trPr>
          <w:trHeight w:val="168"/>
        </w:trPr>
        <w:tc>
          <w:tcPr>
            <w:tcW w:w="1620" w:type="dxa"/>
            <w:vAlign w:val="bottom"/>
          </w:tcPr>
          <w:p>
            <w:pPr>
              <w:spacing w:after="0"/>
              <w:rPr>
                <w:sz w:val="14"/>
                <w:szCs w:val="14"/>
                <w:color w:val="auto"/>
              </w:rPr>
            </w:pPr>
          </w:p>
        </w:tc>
        <w:tc>
          <w:tcPr>
            <w:tcW w:w="3120" w:type="dxa"/>
            <w:vAlign w:val="bottom"/>
          </w:tcPr>
          <w:p>
            <w:pPr>
              <w:ind w:left="1180"/>
              <w:spacing w:after="0" w:line="168" w:lineRule="exact"/>
              <w:rPr>
                <w:sz w:val="20"/>
                <w:szCs w:val="20"/>
                <w:color w:val="auto"/>
              </w:rPr>
            </w:pPr>
            <w:r>
              <w:rPr>
                <w:rFonts w:ascii="Courier New" w:cs="Courier New" w:eastAsia="Courier New" w:hAnsi="Courier New"/>
                <w:sz w:val="15"/>
                <w:szCs w:val="15"/>
                <w:color w:val="auto"/>
              </w:rPr>
              <w:t>Avalon XL**</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(ECC/T)</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O</w:t>
            </w:r>
          </w:p>
        </w:tc>
      </w:tr>
      <w:tr>
        <w:trPr>
          <w:trHeight w:val="168"/>
        </w:trPr>
        <w:tc>
          <w:tcPr>
            <w:tcW w:w="1620" w:type="dxa"/>
            <w:vAlign w:val="bottom"/>
          </w:tcPr>
          <w:p>
            <w:pPr>
              <w:spacing w:after="0"/>
              <w:rPr>
                <w:sz w:val="14"/>
                <w:szCs w:val="14"/>
                <w:color w:val="auto"/>
              </w:rPr>
            </w:pPr>
          </w:p>
        </w:tc>
        <w:tc>
          <w:tcPr>
            <w:tcW w:w="3120" w:type="dxa"/>
            <w:vAlign w:val="bottom"/>
          </w:tcPr>
          <w:p>
            <w:pPr>
              <w:ind w:left="1180"/>
              <w:spacing w:after="0" w:line="168" w:lineRule="exact"/>
              <w:rPr>
                <w:sz w:val="20"/>
                <w:szCs w:val="20"/>
                <w:color w:val="auto"/>
              </w:rPr>
            </w:pPr>
            <w:r>
              <w:rPr>
                <w:rFonts w:ascii="Courier New" w:cs="Courier New" w:eastAsia="Courier New" w:hAnsi="Courier New"/>
                <w:sz w:val="15"/>
                <w:szCs w:val="15"/>
                <w:color w:val="auto"/>
              </w:rPr>
              <w:t>Avalon XLS**</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(ECC)</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O</w:t>
            </w:r>
          </w:p>
        </w:tc>
      </w:tr>
      <w:tr>
        <w:trPr>
          <w:trHeight w:val="168"/>
        </w:trPr>
        <w:tc>
          <w:tcPr>
            <w:tcW w:w="1620" w:type="dxa"/>
            <w:vAlign w:val="bottom"/>
          </w:tcPr>
          <w:p>
            <w:pPr>
              <w:spacing w:after="0"/>
              <w:rPr>
                <w:sz w:val="14"/>
                <w:szCs w:val="14"/>
                <w:color w:val="auto"/>
              </w:rPr>
            </w:pPr>
          </w:p>
        </w:tc>
        <w:tc>
          <w:tcPr>
            <w:tcW w:w="3120" w:type="dxa"/>
            <w:vAlign w:val="bottom"/>
          </w:tcPr>
          <w:p>
            <w:pPr>
              <w:ind w:left="1180"/>
              <w:spacing w:after="0" w:line="168" w:lineRule="exact"/>
              <w:rPr>
                <w:sz w:val="20"/>
                <w:szCs w:val="20"/>
                <w:color w:val="auto"/>
              </w:rPr>
            </w:pPr>
            <w:r>
              <w:rPr>
                <w:rFonts w:ascii="Courier New" w:cs="Courier New" w:eastAsia="Courier New" w:hAnsi="Courier New"/>
                <w:sz w:val="15"/>
                <w:szCs w:val="15"/>
                <w:color w:val="auto"/>
              </w:rPr>
              <w:t>Camry**</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(ECC/T)</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O</w:t>
            </w:r>
          </w:p>
        </w:tc>
      </w:tr>
      <w:tr>
        <w:trPr>
          <w:trHeight w:val="168"/>
        </w:trPr>
        <w:tc>
          <w:tcPr>
            <w:tcW w:w="1620" w:type="dxa"/>
            <w:vAlign w:val="bottom"/>
          </w:tcPr>
          <w:p>
            <w:pPr>
              <w:spacing w:after="0"/>
              <w:rPr>
                <w:sz w:val="14"/>
                <w:szCs w:val="14"/>
                <w:color w:val="auto"/>
              </w:rPr>
            </w:pPr>
          </w:p>
        </w:tc>
        <w:tc>
          <w:tcPr>
            <w:tcW w:w="3120" w:type="dxa"/>
            <w:vAlign w:val="bottom"/>
          </w:tcPr>
          <w:p>
            <w:pPr>
              <w:ind w:left="1180"/>
              <w:spacing w:after="0" w:line="168" w:lineRule="exact"/>
              <w:rPr>
                <w:sz w:val="20"/>
                <w:szCs w:val="20"/>
                <w:color w:val="auto"/>
              </w:rPr>
            </w:pPr>
            <w:r>
              <w:rPr>
                <w:rFonts w:ascii="Courier New" w:cs="Courier New" w:eastAsia="Courier New" w:hAnsi="Courier New"/>
                <w:sz w:val="15"/>
                <w:szCs w:val="15"/>
                <w:color w:val="auto"/>
              </w:rPr>
              <w:t>Land Cruiser**</w:t>
            </w:r>
          </w:p>
        </w:tc>
        <w:tc>
          <w:tcPr>
            <w:tcW w:w="700" w:type="dxa"/>
            <w:vAlign w:val="bottom"/>
          </w:tcPr>
          <w:p>
            <w:pPr>
              <w:spacing w:after="0"/>
              <w:rPr>
                <w:sz w:val="14"/>
                <w:szCs w:val="14"/>
                <w:color w:val="auto"/>
              </w:rPr>
            </w:pP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O</w:t>
            </w:r>
          </w:p>
        </w:tc>
      </w:tr>
      <w:tr>
        <w:trPr>
          <w:trHeight w:val="168"/>
        </w:trPr>
        <w:tc>
          <w:tcPr>
            <w:tcW w:w="1620" w:type="dxa"/>
            <w:vAlign w:val="bottom"/>
          </w:tcPr>
          <w:p>
            <w:pPr>
              <w:spacing w:after="0"/>
              <w:rPr>
                <w:sz w:val="14"/>
                <w:szCs w:val="14"/>
                <w:color w:val="auto"/>
              </w:rPr>
            </w:pPr>
          </w:p>
        </w:tc>
        <w:tc>
          <w:tcPr>
            <w:tcW w:w="3120" w:type="dxa"/>
            <w:vAlign w:val="bottom"/>
          </w:tcPr>
          <w:p>
            <w:pPr>
              <w:ind w:left="1180"/>
              <w:spacing w:after="0" w:line="168" w:lineRule="exact"/>
              <w:rPr>
                <w:sz w:val="20"/>
                <w:szCs w:val="20"/>
                <w:color w:val="auto"/>
              </w:rPr>
            </w:pPr>
            <w:r>
              <w:rPr>
                <w:rFonts w:ascii="Courier New" w:cs="Courier New" w:eastAsia="Courier New" w:hAnsi="Courier New"/>
                <w:sz w:val="15"/>
                <w:szCs w:val="15"/>
                <w:color w:val="auto"/>
              </w:rPr>
              <w:t>T-100**</w:t>
            </w:r>
          </w:p>
        </w:tc>
        <w:tc>
          <w:tcPr>
            <w:tcW w:w="700" w:type="dxa"/>
            <w:vAlign w:val="bottom"/>
          </w:tcPr>
          <w:p>
            <w:pPr>
              <w:spacing w:after="0"/>
              <w:rPr>
                <w:sz w:val="14"/>
                <w:szCs w:val="14"/>
                <w:color w:val="auto"/>
              </w:rPr>
            </w:pP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O</w:t>
            </w:r>
          </w:p>
        </w:tc>
      </w:tr>
      <w:tr>
        <w:trPr>
          <w:trHeight w:val="505"/>
        </w:trPr>
        <w:tc>
          <w:tcPr>
            <w:tcW w:w="1620" w:type="dxa"/>
            <w:vAlign w:val="bottom"/>
          </w:tcPr>
          <w:p>
            <w:pPr>
              <w:spacing w:after="0"/>
              <w:rPr>
                <w:sz w:val="24"/>
                <w:szCs w:val="24"/>
                <w:color w:val="auto"/>
              </w:rPr>
            </w:pPr>
          </w:p>
        </w:tc>
        <w:tc>
          <w:tcPr>
            <w:tcW w:w="3120" w:type="dxa"/>
            <w:vAlign w:val="bottom"/>
          </w:tcPr>
          <w:p>
            <w:pPr>
              <w:ind w:left="660"/>
              <w:spacing w:after="0"/>
              <w:rPr>
                <w:sz w:val="20"/>
                <w:szCs w:val="20"/>
                <w:color w:val="auto"/>
              </w:rPr>
            </w:pPr>
            <w:r>
              <w:rPr>
                <w:rFonts w:ascii="Courier New" w:cs="Courier New" w:eastAsia="Courier New" w:hAnsi="Courier New"/>
                <w:sz w:val="15"/>
                <w:szCs w:val="15"/>
                <w:color w:val="auto"/>
                <w:w w:val="96"/>
              </w:rPr>
              <w:t>KEY:  S = Standard equipment</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68"/>
        </w:trPr>
        <w:tc>
          <w:tcPr>
            <w:tcW w:w="1620" w:type="dxa"/>
            <w:vAlign w:val="bottom"/>
          </w:tcPr>
          <w:p>
            <w:pPr>
              <w:spacing w:after="0"/>
              <w:rPr>
                <w:sz w:val="14"/>
                <w:szCs w:val="14"/>
                <w:color w:val="auto"/>
              </w:rPr>
            </w:pPr>
          </w:p>
        </w:tc>
        <w:tc>
          <w:tcPr>
            <w:tcW w:w="3120" w:type="dxa"/>
            <w:vAlign w:val="bottom"/>
          </w:tcPr>
          <w:p>
            <w:pPr>
              <w:ind w:left="1180"/>
              <w:spacing w:after="0" w:line="168" w:lineRule="exact"/>
              <w:rPr>
                <w:sz w:val="20"/>
                <w:szCs w:val="20"/>
                <w:color w:val="auto"/>
              </w:rPr>
            </w:pPr>
            <w:r>
              <w:rPr>
                <w:rFonts w:ascii="Courier New" w:cs="Courier New" w:eastAsia="Courier New" w:hAnsi="Courier New"/>
                <w:sz w:val="15"/>
                <w:szCs w:val="15"/>
                <w:color w:val="auto"/>
                <w:w w:val="96"/>
              </w:rPr>
              <w:t>O = Optional equipment</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r>
    </w:tbl>
    <w:p>
      <w:pPr>
        <w:spacing w:after="0" w:line="16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EH = NVS(R) Mirror with Automatic Headlamp Control</w:t>
      </w:r>
    </w:p>
    <w:p>
      <w:pPr>
        <w:ind w:left="2280"/>
        <w:spacing w:after="0" w:line="237" w:lineRule="auto"/>
        <w:rPr>
          <w:sz w:val="20"/>
          <w:szCs w:val="20"/>
          <w:color w:val="auto"/>
        </w:rPr>
      </w:pPr>
      <w:r>
        <w:rPr>
          <w:rFonts w:ascii="Courier New" w:cs="Courier New" w:eastAsia="Courier New" w:hAnsi="Courier New"/>
          <w:sz w:val="15"/>
          <w:szCs w:val="15"/>
          <w:color w:val="auto"/>
        </w:rPr>
        <w:t>EL = NVS(R) Mirror with Map Lights</w:t>
      </w:r>
    </w:p>
    <w:p>
      <w:pPr>
        <w:ind w:left="2280"/>
        <w:spacing w:after="0" w:line="238" w:lineRule="auto"/>
        <w:rPr>
          <w:sz w:val="20"/>
          <w:szCs w:val="20"/>
          <w:color w:val="auto"/>
        </w:rPr>
      </w:pPr>
      <w:r>
        <w:rPr>
          <w:rFonts w:ascii="Courier New" w:cs="Courier New" w:eastAsia="Courier New" w:hAnsi="Courier New"/>
          <w:sz w:val="15"/>
          <w:szCs w:val="15"/>
          <w:color w:val="auto"/>
        </w:rPr>
        <w:t>ECC = NVS(R) Mirror with Electronic Compass Display</w:t>
      </w:r>
    </w:p>
    <w:p>
      <w:pPr>
        <w:spacing w:after="0" w:line="5" w:lineRule="exact"/>
        <w:rPr>
          <w:sz w:val="20"/>
          <w:szCs w:val="20"/>
          <w:color w:val="auto"/>
        </w:rPr>
      </w:pPr>
    </w:p>
    <w:p>
      <w:pPr>
        <w:ind w:left="2280"/>
        <w:spacing w:after="0"/>
        <w:rPr>
          <w:sz w:val="20"/>
          <w:szCs w:val="20"/>
          <w:color w:val="auto"/>
        </w:rPr>
      </w:pPr>
      <w:r>
        <w:rPr>
          <w:rFonts w:ascii="Courier New" w:cs="Courier New" w:eastAsia="Courier New" w:hAnsi="Courier New"/>
          <w:sz w:val="14"/>
          <w:szCs w:val="14"/>
          <w:color w:val="auto"/>
        </w:rPr>
        <w:t>ECC/T = NVS(R) Mirror w/Electronic Compass and Temperature Display</w:t>
      </w:r>
    </w:p>
    <w:p>
      <w:pPr>
        <w:spacing w:after="0" w:line="3"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RKE = NVS(R) Mirror with Remote Keyless Entry</w:t>
      </w:r>
    </w:p>
    <w:p>
      <w:pPr>
        <w:ind w:left="2640" w:hanging="356"/>
        <w:spacing w:after="0" w:line="237" w:lineRule="auto"/>
        <w:tabs>
          <w:tab w:leader="none" w:pos="26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ECC offered as upgrade option</w:t>
      </w:r>
    </w:p>
    <w:p>
      <w:pPr>
        <w:spacing w:after="0" w:line="5" w:lineRule="exact"/>
        <w:rPr>
          <w:sz w:val="20"/>
          <w:szCs w:val="20"/>
          <w:color w:val="auto"/>
        </w:rPr>
      </w:pPr>
    </w:p>
    <w:p>
      <w:pPr>
        <w:ind w:left="2640" w:right="3399" w:hanging="356"/>
        <w:spacing w:after="0" w:line="256" w:lineRule="auto"/>
        <w:tabs>
          <w:tab w:leader="none" w:pos="26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NVS(R) Mirrors are offered as optional equipment through Southeast Toyota Distributors in the states of FL, GA, NC, SC and AL, and Gulf States Toyota in the states of TX, MS, AR, LA and OK.</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135" w:right="1440" w:bottom="1440" w:gutter="0" w:footer="0" w:header="0"/>
        </w:sectPr>
      </w:pPr>
    </w:p>
    <w:bookmarkStart w:id="5" w:name="page6"/>
    <w:bookmarkEnd w:id="5"/>
    <w:p>
      <w:pPr>
        <w:ind w:left="280"/>
        <w:spacing w:after="0"/>
        <w:rPr>
          <w:sz w:val="20"/>
          <w:szCs w:val="20"/>
          <w:color w:val="auto"/>
        </w:rPr>
      </w:pPr>
      <w:r>
        <w:rPr>
          <w:rFonts w:ascii="Courier New" w:cs="Courier New" w:eastAsia="Courier New" w:hAnsi="Courier New"/>
          <w:sz w:val="15"/>
          <w:szCs w:val="15"/>
          <w:color w:val="auto"/>
        </w:rPr>
        <w:t>5</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4280" w:firstLine="437"/>
        <w:spacing w:after="0" w:line="255" w:lineRule="auto"/>
        <w:rPr>
          <w:sz w:val="20"/>
          <w:szCs w:val="20"/>
          <w:color w:val="auto"/>
        </w:rPr>
      </w:pPr>
      <w:r>
        <w:rPr>
          <w:rFonts w:ascii="Courier New" w:cs="Courier New" w:eastAsia="Courier New" w:hAnsi="Courier New"/>
          <w:sz w:val="14"/>
          <w:szCs w:val="14"/>
          <w:color w:val="auto"/>
        </w:rPr>
        <w:t>Exterior NVS(R) Mirror Sub-Assemblies. The Company has devoted substantial research and development efforts to the development of its electrochromic technology to permit its use in exterior rearview mirrors. Exterior NVS(R) mirrors are controlled by the sensors and electronic circuitry in the interior NVS(R) Mirror, and both the interior and exterior mirrors dim simultaneously. During 1991, the Company's efforts culminated in a design that is intended to provide acceptable long-term performance in all environments likely to be encountered. In 1994, the Company began shipments of its complete three-mirror system, including the convex (curved glass) wide-angle NVS(R) Mirror to BMW. During 1997, the Company began making volume shipments of three new exterior mirror products - - thin glass flat, convex and aspheric. The Company currently sells its exterior NVS(R) Mirror Sub-Assemblies to eight exterior mirror suppliers to General Motors, Chrysler, Ford, BMW and Mercedes-Benz, who assemble the exterior NVS(R) Mirror Sub-Assemblies into full mirror units for subsequent resale to the automakers.</w:t>
      </w:r>
    </w:p>
    <w:p>
      <w:pPr>
        <w:spacing w:after="0" w:line="164" w:lineRule="exact"/>
        <w:rPr>
          <w:sz w:val="20"/>
          <w:szCs w:val="20"/>
          <w:color w:val="auto"/>
        </w:rPr>
      </w:pPr>
    </w:p>
    <w:p>
      <w:pPr>
        <w:ind w:right="4360" w:firstLine="437"/>
        <w:spacing w:after="0" w:line="235" w:lineRule="auto"/>
        <w:rPr>
          <w:sz w:val="20"/>
          <w:szCs w:val="20"/>
          <w:color w:val="auto"/>
        </w:rPr>
      </w:pPr>
      <w:r>
        <w:rPr>
          <w:rFonts w:ascii="Courier New" w:cs="Courier New" w:eastAsia="Courier New" w:hAnsi="Courier New"/>
          <w:sz w:val="15"/>
          <w:szCs w:val="15"/>
          <w:color w:val="auto"/>
        </w:rPr>
        <w:t>The Company sold approximately 417,000 exterior NVS(R) Mirror Sub-Assemblies during 1995, approximately 656,000 in 1996, and approximately 1,079,000 in 1997. During 1997, unit growth accelerated primarily as a result of the Company's three new exterior mirror products.</w:t>
      </w:r>
    </w:p>
    <w:p>
      <w:pPr>
        <w:spacing w:after="0" w:line="7" w:lineRule="exact"/>
        <w:rPr>
          <w:sz w:val="20"/>
          <w:szCs w:val="20"/>
          <w:color w:val="auto"/>
        </w:rPr>
      </w:pPr>
    </w:p>
    <w:p>
      <w:pPr>
        <w:ind w:right="4540" w:firstLine="437"/>
        <w:spacing w:after="0" w:line="234" w:lineRule="auto"/>
        <w:rPr>
          <w:sz w:val="20"/>
          <w:szCs w:val="20"/>
          <w:color w:val="auto"/>
        </w:rPr>
      </w:pPr>
      <w:r>
        <w:rPr>
          <w:rFonts w:ascii="Courier New" w:cs="Courier New" w:eastAsia="Courier New" w:hAnsi="Courier New"/>
          <w:sz w:val="15"/>
          <w:szCs w:val="15"/>
          <w:color w:val="auto"/>
        </w:rPr>
        <w:t>The exterior NVS(R) Mirror is standard equipment or a factory-installed option on the following 1998 and 1998- 1/2 vehicle models.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740" w:type="dxa"/>
            <w:vAlign w:val="bottom"/>
            <w:gridSpan w:val="4"/>
          </w:tcPr>
          <w:p>
            <w:pPr>
              <w:spacing w:after="0"/>
              <w:rPr>
                <w:sz w:val="20"/>
                <w:szCs w:val="20"/>
                <w:color w:val="auto"/>
              </w:rPr>
            </w:pPr>
            <w:r>
              <w:rPr>
                <w:rFonts w:ascii="Courier New" w:cs="Courier New" w:eastAsia="Courier New" w:hAnsi="Courier New"/>
                <w:sz w:val="15"/>
                <w:szCs w:val="15"/>
                <w:color w:val="auto"/>
              </w:rPr>
              <w:t>TABLE 2.   EXTERIOR NVS(R) MIRROR AVAILABILITY BY VEHICLE LINE.</w:t>
            </w:r>
          </w:p>
        </w:tc>
        <w:tc>
          <w:tcPr>
            <w:tcW w:w="12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505"/>
        </w:trPr>
        <w:tc>
          <w:tcPr>
            <w:tcW w:w="1980" w:type="dxa"/>
            <w:vAlign w:val="bottom"/>
          </w:tcPr>
          <w:p>
            <w:pPr>
              <w:spacing w:after="0"/>
              <w:rPr>
                <w:sz w:val="20"/>
                <w:szCs w:val="20"/>
                <w:color w:val="auto"/>
              </w:rPr>
            </w:pPr>
            <w:r>
              <w:rPr>
                <w:rFonts w:ascii="Courier New" w:cs="Courier New" w:eastAsia="Courier New" w:hAnsi="Courier New"/>
                <w:sz w:val="15"/>
                <w:szCs w:val="15"/>
                <w:color w:val="auto"/>
              </w:rPr>
              <w:t>GM/Cadillac</w:t>
            </w:r>
          </w:p>
        </w:tc>
        <w:tc>
          <w:tcPr>
            <w:tcW w:w="1620" w:type="dxa"/>
            <w:vAlign w:val="bottom"/>
          </w:tcPr>
          <w:p>
            <w:pPr>
              <w:ind w:left="40"/>
              <w:spacing w:after="0"/>
              <w:rPr>
                <w:sz w:val="20"/>
                <w:szCs w:val="20"/>
                <w:color w:val="auto"/>
              </w:rPr>
            </w:pPr>
            <w:r>
              <w:rPr>
                <w:rFonts w:ascii="Courier New" w:cs="Courier New" w:eastAsia="Courier New" w:hAnsi="Courier New"/>
                <w:sz w:val="15"/>
                <w:szCs w:val="15"/>
                <w:color w:val="auto"/>
              </w:rPr>
              <w:t>Concours</w:t>
            </w:r>
          </w:p>
        </w:tc>
        <w:tc>
          <w:tcPr>
            <w:tcW w:w="880" w:type="dxa"/>
            <w:vAlign w:val="bottom"/>
          </w:tcPr>
          <w:p>
            <w:pPr>
              <w:spacing w:after="0"/>
              <w:rPr>
                <w:sz w:val="24"/>
                <w:szCs w:val="24"/>
                <w:color w:val="auto"/>
              </w:rPr>
            </w:pPr>
          </w:p>
        </w:tc>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S</w:t>
            </w:r>
          </w:p>
        </w:tc>
        <w:tc>
          <w:tcPr>
            <w:tcW w:w="1220" w:type="dxa"/>
            <w:vAlign w:val="bottom"/>
          </w:tcPr>
          <w:p>
            <w:pPr>
              <w:spacing w:after="0"/>
              <w:rPr>
                <w:sz w:val="20"/>
                <w:szCs w:val="20"/>
                <w:color w:val="auto"/>
              </w:rPr>
            </w:pPr>
            <w:r>
              <w:rPr>
                <w:rFonts w:ascii="Courier New" w:cs="Courier New" w:eastAsia="Courier New" w:hAnsi="Courier New"/>
                <w:sz w:val="15"/>
                <w:szCs w:val="15"/>
                <w:color w:val="auto"/>
              </w:rPr>
              <w:t>Audi</w:t>
            </w:r>
          </w:p>
        </w:tc>
        <w:tc>
          <w:tcPr>
            <w:tcW w:w="2060" w:type="dxa"/>
            <w:vAlign w:val="bottom"/>
          </w:tcPr>
          <w:p>
            <w:pPr>
              <w:ind w:left="100"/>
              <w:spacing w:after="0"/>
              <w:rPr>
                <w:sz w:val="20"/>
                <w:szCs w:val="20"/>
                <w:color w:val="auto"/>
              </w:rPr>
            </w:pPr>
            <w:r>
              <w:rPr>
                <w:rFonts w:ascii="Courier New" w:cs="Courier New" w:eastAsia="Courier New" w:hAnsi="Courier New"/>
                <w:sz w:val="15"/>
                <w:szCs w:val="15"/>
                <w:color w:val="auto"/>
              </w:rPr>
              <w:t>A6</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(F/C/A)</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O</w:t>
            </w:r>
          </w:p>
        </w:tc>
      </w:tr>
      <w:tr>
        <w:trPr>
          <w:trHeight w:val="168"/>
        </w:trPr>
        <w:tc>
          <w:tcPr>
            <w:tcW w:w="1980" w:type="dxa"/>
            <w:vAlign w:val="bottom"/>
          </w:tcPr>
          <w:p>
            <w:pPr>
              <w:spacing w:after="0"/>
              <w:rPr>
                <w:sz w:val="14"/>
                <w:szCs w:val="14"/>
                <w:color w:val="auto"/>
              </w:rPr>
            </w:pPr>
          </w:p>
        </w:tc>
        <w:tc>
          <w:tcPr>
            <w:tcW w:w="1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D'Elegance</w:t>
            </w:r>
          </w:p>
        </w:tc>
        <w:tc>
          <w:tcPr>
            <w:tcW w:w="880" w:type="dxa"/>
            <w:vAlign w:val="bottom"/>
          </w:tcPr>
          <w:p>
            <w:pPr>
              <w:spacing w:after="0"/>
              <w:rPr>
                <w:sz w:val="14"/>
                <w:szCs w:val="14"/>
                <w:color w:val="auto"/>
              </w:rPr>
            </w:pPr>
          </w:p>
        </w:tc>
        <w:tc>
          <w:tcPr>
            <w:tcW w:w="22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w:t>
            </w:r>
          </w:p>
        </w:tc>
        <w:tc>
          <w:tcPr>
            <w:tcW w:w="1220" w:type="dxa"/>
            <w:vAlign w:val="bottom"/>
          </w:tcPr>
          <w:p>
            <w:pPr>
              <w:spacing w:after="0" w:line="168" w:lineRule="exact"/>
              <w:rPr>
                <w:sz w:val="20"/>
                <w:szCs w:val="20"/>
                <w:color w:val="auto"/>
              </w:rPr>
            </w:pPr>
            <w:r>
              <w:rPr>
                <w:rFonts w:ascii="Courier New" w:cs="Courier New" w:eastAsia="Courier New" w:hAnsi="Courier New"/>
                <w:sz w:val="15"/>
                <w:szCs w:val="15"/>
                <w:color w:val="auto"/>
              </w:rPr>
              <w:t>BMW</w:t>
            </w:r>
          </w:p>
        </w:tc>
        <w:tc>
          <w:tcPr>
            <w:tcW w:w="20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500 Series</w:t>
            </w:r>
          </w:p>
        </w:tc>
        <w:tc>
          <w:tcPr>
            <w:tcW w:w="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 &amp; C)</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O</w:t>
            </w:r>
          </w:p>
        </w:tc>
      </w:tr>
      <w:tr>
        <w:trPr>
          <w:trHeight w:val="168"/>
        </w:trPr>
        <w:tc>
          <w:tcPr>
            <w:tcW w:w="1980" w:type="dxa"/>
            <w:vAlign w:val="bottom"/>
          </w:tcPr>
          <w:p>
            <w:pPr>
              <w:spacing w:after="0"/>
              <w:rPr>
                <w:sz w:val="14"/>
                <w:szCs w:val="14"/>
                <w:color w:val="auto"/>
              </w:rPr>
            </w:pPr>
          </w:p>
        </w:tc>
        <w:tc>
          <w:tcPr>
            <w:tcW w:w="1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Deville</w:t>
            </w:r>
          </w:p>
        </w:tc>
        <w:tc>
          <w:tcPr>
            <w:tcW w:w="880" w:type="dxa"/>
            <w:vAlign w:val="bottom"/>
          </w:tcPr>
          <w:p>
            <w:pPr>
              <w:spacing w:after="0"/>
              <w:rPr>
                <w:sz w:val="14"/>
                <w:szCs w:val="14"/>
                <w:color w:val="auto"/>
              </w:rPr>
            </w:pPr>
          </w:p>
        </w:tc>
        <w:tc>
          <w:tcPr>
            <w:tcW w:w="22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O</w:t>
            </w:r>
          </w:p>
        </w:tc>
        <w:tc>
          <w:tcPr>
            <w:tcW w:w="1220" w:type="dxa"/>
            <w:vAlign w:val="bottom"/>
          </w:tcPr>
          <w:p>
            <w:pPr>
              <w:spacing w:after="0"/>
              <w:rPr>
                <w:sz w:val="14"/>
                <w:szCs w:val="14"/>
                <w:color w:val="auto"/>
              </w:rPr>
            </w:pPr>
          </w:p>
        </w:tc>
        <w:tc>
          <w:tcPr>
            <w:tcW w:w="20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700 Series</w:t>
            </w:r>
          </w:p>
        </w:tc>
        <w:tc>
          <w:tcPr>
            <w:tcW w:w="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 &amp; C)</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O</w:t>
            </w:r>
          </w:p>
        </w:tc>
      </w:tr>
      <w:tr>
        <w:trPr>
          <w:trHeight w:val="168"/>
        </w:trPr>
        <w:tc>
          <w:tcPr>
            <w:tcW w:w="1980" w:type="dxa"/>
            <w:vAlign w:val="bottom"/>
          </w:tcPr>
          <w:p>
            <w:pPr>
              <w:spacing w:after="0"/>
              <w:rPr>
                <w:sz w:val="14"/>
                <w:szCs w:val="14"/>
                <w:color w:val="auto"/>
              </w:rPr>
            </w:pPr>
          </w:p>
        </w:tc>
        <w:tc>
          <w:tcPr>
            <w:tcW w:w="1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Eldorado</w:t>
            </w:r>
          </w:p>
        </w:tc>
        <w:tc>
          <w:tcPr>
            <w:tcW w:w="880" w:type="dxa"/>
            <w:vAlign w:val="bottom"/>
          </w:tcPr>
          <w:p>
            <w:pPr>
              <w:spacing w:after="0"/>
              <w:rPr>
                <w:sz w:val="14"/>
                <w:szCs w:val="14"/>
                <w:color w:val="auto"/>
              </w:rPr>
            </w:pPr>
          </w:p>
        </w:tc>
        <w:tc>
          <w:tcPr>
            <w:tcW w:w="22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O</w:t>
            </w:r>
          </w:p>
        </w:tc>
        <w:tc>
          <w:tcPr>
            <w:tcW w:w="1220" w:type="dxa"/>
            <w:vAlign w:val="bottom"/>
          </w:tcPr>
          <w:p>
            <w:pPr>
              <w:spacing w:after="0" w:line="168" w:lineRule="exact"/>
              <w:rPr>
                <w:sz w:val="20"/>
                <w:szCs w:val="20"/>
                <w:color w:val="auto"/>
              </w:rPr>
            </w:pPr>
            <w:r>
              <w:rPr>
                <w:rFonts w:ascii="Courier New" w:cs="Courier New" w:eastAsia="Courier New" w:hAnsi="Courier New"/>
                <w:sz w:val="15"/>
                <w:szCs w:val="15"/>
                <w:color w:val="auto"/>
              </w:rPr>
              <w:t>Mercedes-Benz</w:t>
            </w:r>
          </w:p>
        </w:tc>
        <w:tc>
          <w:tcPr>
            <w:tcW w:w="20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CLK Coupe</w:t>
            </w:r>
          </w:p>
        </w:tc>
        <w:tc>
          <w:tcPr>
            <w:tcW w:w="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(F/A)</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O</w:t>
            </w:r>
          </w:p>
        </w:tc>
      </w:tr>
      <w:tr>
        <w:trPr>
          <w:trHeight w:val="168"/>
        </w:trPr>
        <w:tc>
          <w:tcPr>
            <w:tcW w:w="1980" w:type="dxa"/>
            <w:vAlign w:val="bottom"/>
          </w:tcPr>
          <w:p>
            <w:pPr>
              <w:spacing w:after="0"/>
              <w:rPr>
                <w:sz w:val="14"/>
                <w:szCs w:val="14"/>
                <w:color w:val="auto"/>
              </w:rPr>
            </w:pPr>
          </w:p>
        </w:tc>
        <w:tc>
          <w:tcPr>
            <w:tcW w:w="25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Eldorado Touring Coupe</w:t>
            </w:r>
          </w:p>
        </w:tc>
        <w:tc>
          <w:tcPr>
            <w:tcW w:w="22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O</w:t>
            </w:r>
          </w:p>
        </w:tc>
        <w:tc>
          <w:tcPr>
            <w:tcW w:w="1220" w:type="dxa"/>
            <w:vAlign w:val="bottom"/>
          </w:tcPr>
          <w:p>
            <w:pPr>
              <w:spacing w:after="0"/>
              <w:rPr>
                <w:sz w:val="14"/>
                <w:szCs w:val="14"/>
                <w:color w:val="auto"/>
              </w:rPr>
            </w:pPr>
          </w:p>
        </w:tc>
        <w:tc>
          <w:tcPr>
            <w:tcW w:w="20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 Class Convertible</w:t>
            </w:r>
          </w:p>
        </w:tc>
        <w:tc>
          <w:tcPr>
            <w:tcW w:w="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(F/A)</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O</w:t>
            </w:r>
          </w:p>
        </w:tc>
      </w:tr>
      <w:tr>
        <w:trPr>
          <w:trHeight w:val="168"/>
        </w:trPr>
        <w:tc>
          <w:tcPr>
            <w:tcW w:w="1980" w:type="dxa"/>
            <w:vAlign w:val="bottom"/>
          </w:tcPr>
          <w:p>
            <w:pPr>
              <w:spacing w:after="0"/>
              <w:rPr>
                <w:sz w:val="14"/>
                <w:szCs w:val="14"/>
                <w:color w:val="auto"/>
              </w:rPr>
            </w:pPr>
          </w:p>
        </w:tc>
        <w:tc>
          <w:tcPr>
            <w:tcW w:w="1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Seville</w:t>
            </w:r>
          </w:p>
        </w:tc>
        <w:tc>
          <w:tcPr>
            <w:tcW w:w="880" w:type="dxa"/>
            <w:vAlign w:val="bottom"/>
          </w:tcPr>
          <w:p>
            <w:pPr>
              <w:spacing w:after="0"/>
              <w:rPr>
                <w:sz w:val="14"/>
                <w:szCs w:val="14"/>
                <w:color w:val="auto"/>
              </w:rPr>
            </w:pPr>
          </w:p>
        </w:tc>
        <w:tc>
          <w:tcPr>
            <w:tcW w:w="22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O</w:t>
            </w:r>
          </w:p>
        </w:tc>
        <w:tc>
          <w:tcPr>
            <w:tcW w:w="1220" w:type="dxa"/>
            <w:vAlign w:val="bottom"/>
          </w:tcPr>
          <w:p>
            <w:pPr>
              <w:spacing w:after="0"/>
              <w:rPr>
                <w:sz w:val="14"/>
                <w:szCs w:val="14"/>
                <w:color w:val="auto"/>
              </w:rPr>
            </w:pPr>
          </w:p>
        </w:tc>
        <w:tc>
          <w:tcPr>
            <w:tcW w:w="20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 Class Sedan</w:t>
            </w:r>
          </w:p>
        </w:tc>
        <w:tc>
          <w:tcPr>
            <w:tcW w:w="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(F/A)</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O</w:t>
            </w:r>
          </w:p>
        </w:tc>
      </w:tr>
      <w:tr>
        <w:trPr>
          <w:trHeight w:val="168"/>
        </w:trPr>
        <w:tc>
          <w:tcPr>
            <w:tcW w:w="1980" w:type="dxa"/>
            <w:vAlign w:val="bottom"/>
          </w:tcPr>
          <w:p>
            <w:pPr>
              <w:spacing w:after="0"/>
              <w:rPr>
                <w:sz w:val="14"/>
                <w:szCs w:val="14"/>
                <w:color w:val="auto"/>
              </w:rPr>
            </w:pPr>
          </w:p>
        </w:tc>
        <w:tc>
          <w:tcPr>
            <w:tcW w:w="1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Seville STS</w:t>
            </w:r>
          </w:p>
        </w:tc>
        <w:tc>
          <w:tcPr>
            <w:tcW w:w="880" w:type="dxa"/>
            <w:vAlign w:val="bottom"/>
          </w:tcPr>
          <w:p>
            <w:pPr>
              <w:spacing w:after="0"/>
              <w:rPr>
                <w:sz w:val="14"/>
                <w:szCs w:val="14"/>
                <w:color w:val="auto"/>
              </w:rPr>
            </w:pPr>
          </w:p>
        </w:tc>
        <w:tc>
          <w:tcPr>
            <w:tcW w:w="22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w:t>
            </w:r>
          </w:p>
        </w:tc>
        <w:tc>
          <w:tcPr>
            <w:tcW w:w="1220" w:type="dxa"/>
            <w:vAlign w:val="bottom"/>
          </w:tcPr>
          <w:p>
            <w:pPr>
              <w:spacing w:after="0"/>
              <w:rPr>
                <w:sz w:val="14"/>
                <w:szCs w:val="14"/>
                <w:color w:val="auto"/>
              </w:rPr>
            </w:pPr>
          </w:p>
        </w:tc>
        <w:tc>
          <w:tcPr>
            <w:tcW w:w="20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 Class Coupe</w:t>
            </w:r>
          </w:p>
        </w:tc>
        <w:tc>
          <w:tcPr>
            <w:tcW w:w="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(F/A)</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O</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GM/Buick</w:t>
            </w:r>
          </w:p>
        </w:tc>
        <w:tc>
          <w:tcPr>
            <w:tcW w:w="1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LeSabre Limited</w:t>
            </w:r>
          </w:p>
        </w:tc>
        <w:tc>
          <w:tcPr>
            <w:tcW w:w="880" w:type="dxa"/>
            <w:vAlign w:val="bottom"/>
          </w:tcPr>
          <w:p>
            <w:pPr>
              <w:spacing w:after="0"/>
              <w:rPr>
                <w:sz w:val="14"/>
                <w:szCs w:val="14"/>
                <w:color w:val="auto"/>
              </w:rPr>
            </w:pPr>
          </w:p>
        </w:tc>
        <w:tc>
          <w:tcPr>
            <w:tcW w:w="22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O</w:t>
            </w:r>
          </w:p>
        </w:tc>
        <w:tc>
          <w:tcPr>
            <w:tcW w:w="1220" w:type="dxa"/>
            <w:vAlign w:val="bottom"/>
          </w:tcPr>
          <w:p>
            <w:pPr>
              <w:spacing w:after="0"/>
              <w:rPr>
                <w:sz w:val="14"/>
                <w:szCs w:val="14"/>
                <w:color w:val="auto"/>
              </w:rPr>
            </w:pPr>
          </w:p>
        </w:tc>
        <w:tc>
          <w:tcPr>
            <w:tcW w:w="20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 Class Sedan</w:t>
            </w:r>
          </w:p>
        </w:tc>
        <w:tc>
          <w:tcPr>
            <w:tcW w:w="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(F/A)</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O</w:t>
            </w:r>
          </w:p>
        </w:tc>
      </w:tr>
      <w:tr>
        <w:trPr>
          <w:trHeight w:val="168"/>
        </w:trPr>
        <w:tc>
          <w:tcPr>
            <w:tcW w:w="1980" w:type="dxa"/>
            <w:vAlign w:val="bottom"/>
          </w:tcPr>
          <w:p>
            <w:pPr>
              <w:spacing w:after="0"/>
              <w:rPr>
                <w:sz w:val="14"/>
                <w:szCs w:val="14"/>
                <w:color w:val="auto"/>
              </w:rPr>
            </w:pPr>
          </w:p>
        </w:tc>
        <w:tc>
          <w:tcPr>
            <w:tcW w:w="1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Park Avenue</w:t>
            </w:r>
          </w:p>
        </w:tc>
        <w:tc>
          <w:tcPr>
            <w:tcW w:w="880" w:type="dxa"/>
            <w:vAlign w:val="bottom"/>
          </w:tcPr>
          <w:p>
            <w:pPr>
              <w:spacing w:after="0"/>
              <w:rPr>
                <w:sz w:val="14"/>
                <w:szCs w:val="14"/>
                <w:color w:val="auto"/>
              </w:rPr>
            </w:pPr>
          </w:p>
        </w:tc>
        <w:tc>
          <w:tcPr>
            <w:tcW w:w="22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O</w:t>
            </w:r>
          </w:p>
        </w:tc>
        <w:tc>
          <w:tcPr>
            <w:tcW w:w="1220" w:type="dxa"/>
            <w:vAlign w:val="bottom"/>
          </w:tcPr>
          <w:p>
            <w:pPr>
              <w:spacing w:after="0"/>
              <w:rPr>
                <w:sz w:val="14"/>
                <w:szCs w:val="14"/>
                <w:color w:val="auto"/>
              </w:rPr>
            </w:pPr>
          </w:p>
        </w:tc>
        <w:tc>
          <w:tcPr>
            <w:tcW w:w="20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SL Roadster</w:t>
            </w:r>
          </w:p>
        </w:tc>
        <w:tc>
          <w:tcPr>
            <w:tcW w:w="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(F/A)</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O</w:t>
            </w:r>
          </w:p>
        </w:tc>
      </w:tr>
      <w:tr>
        <w:trPr>
          <w:trHeight w:val="168"/>
        </w:trPr>
        <w:tc>
          <w:tcPr>
            <w:tcW w:w="1980" w:type="dxa"/>
            <w:vAlign w:val="bottom"/>
          </w:tcPr>
          <w:p>
            <w:pPr>
              <w:spacing w:after="0"/>
              <w:rPr>
                <w:sz w:val="14"/>
                <w:szCs w:val="14"/>
                <w:color w:val="auto"/>
              </w:rPr>
            </w:pPr>
          </w:p>
        </w:tc>
        <w:tc>
          <w:tcPr>
            <w:tcW w:w="1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Park Avenue Ultra</w:t>
            </w:r>
          </w:p>
        </w:tc>
        <w:tc>
          <w:tcPr>
            <w:tcW w:w="880" w:type="dxa"/>
            <w:vAlign w:val="bottom"/>
          </w:tcPr>
          <w:p>
            <w:pPr>
              <w:spacing w:after="0"/>
              <w:rPr>
                <w:sz w:val="14"/>
                <w:szCs w:val="14"/>
                <w:color w:val="auto"/>
              </w:rPr>
            </w:pPr>
          </w:p>
        </w:tc>
        <w:tc>
          <w:tcPr>
            <w:tcW w:w="22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w:t>
            </w:r>
          </w:p>
        </w:tc>
        <w:tc>
          <w:tcPr>
            <w:tcW w:w="12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8"/>
        </w:trPr>
        <w:tc>
          <w:tcPr>
            <w:tcW w:w="1980" w:type="dxa"/>
            <w:vAlign w:val="bottom"/>
          </w:tcPr>
          <w:p>
            <w:pPr>
              <w:spacing w:after="0"/>
              <w:rPr>
                <w:sz w:val="14"/>
                <w:szCs w:val="14"/>
                <w:color w:val="auto"/>
              </w:rPr>
            </w:pPr>
          </w:p>
        </w:tc>
        <w:tc>
          <w:tcPr>
            <w:tcW w:w="1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Riviera</w:t>
            </w:r>
          </w:p>
        </w:tc>
        <w:tc>
          <w:tcPr>
            <w:tcW w:w="880" w:type="dxa"/>
            <w:vAlign w:val="bottom"/>
          </w:tcPr>
          <w:p>
            <w:pPr>
              <w:spacing w:after="0"/>
              <w:rPr>
                <w:sz w:val="14"/>
                <w:szCs w:val="14"/>
                <w:color w:val="auto"/>
              </w:rPr>
            </w:pPr>
          </w:p>
        </w:tc>
        <w:tc>
          <w:tcPr>
            <w:tcW w:w="22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O</w:t>
            </w:r>
          </w:p>
        </w:tc>
        <w:tc>
          <w:tcPr>
            <w:tcW w:w="1220" w:type="dxa"/>
            <w:vAlign w:val="bottom"/>
          </w:tcPr>
          <w:p>
            <w:pPr>
              <w:spacing w:after="0" w:line="168" w:lineRule="exact"/>
              <w:rPr>
                <w:sz w:val="20"/>
                <w:szCs w:val="20"/>
                <w:color w:val="auto"/>
              </w:rPr>
            </w:pPr>
            <w:r>
              <w:rPr>
                <w:rFonts w:ascii="Courier New" w:cs="Courier New" w:eastAsia="Courier New" w:hAnsi="Courier New"/>
                <w:sz w:val="15"/>
                <w:szCs w:val="15"/>
                <w:color w:val="auto"/>
              </w:rPr>
              <w:t>KEY:</w:t>
            </w:r>
          </w:p>
        </w:tc>
        <w:tc>
          <w:tcPr>
            <w:tcW w:w="20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7"/>
              </w:rPr>
              <w:t>S = Standard Equipment</w:t>
            </w: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GM/Chevrolet</w:t>
            </w:r>
          </w:p>
        </w:tc>
        <w:tc>
          <w:tcPr>
            <w:tcW w:w="1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Suburban</w:t>
            </w:r>
          </w:p>
        </w:tc>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(F &amp; C)</w:t>
            </w:r>
          </w:p>
        </w:tc>
        <w:tc>
          <w:tcPr>
            <w:tcW w:w="22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O</w:t>
            </w:r>
          </w:p>
        </w:tc>
        <w:tc>
          <w:tcPr>
            <w:tcW w:w="1220" w:type="dxa"/>
            <w:vAlign w:val="bottom"/>
          </w:tcPr>
          <w:p>
            <w:pPr>
              <w:spacing w:after="0"/>
              <w:rPr>
                <w:sz w:val="14"/>
                <w:szCs w:val="14"/>
                <w:color w:val="auto"/>
              </w:rPr>
            </w:pPr>
          </w:p>
        </w:tc>
        <w:tc>
          <w:tcPr>
            <w:tcW w:w="20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7"/>
              </w:rPr>
              <w:t>O = Optional Equipment</w:t>
            </w: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8"/>
        </w:trPr>
        <w:tc>
          <w:tcPr>
            <w:tcW w:w="1980" w:type="dxa"/>
            <w:vAlign w:val="bottom"/>
          </w:tcPr>
          <w:p>
            <w:pPr>
              <w:spacing w:after="0"/>
              <w:rPr>
                <w:sz w:val="14"/>
                <w:szCs w:val="14"/>
                <w:color w:val="auto"/>
              </w:rPr>
            </w:pPr>
          </w:p>
        </w:tc>
        <w:tc>
          <w:tcPr>
            <w:tcW w:w="1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Tahoe (2-Door)</w:t>
            </w:r>
          </w:p>
        </w:tc>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(F &amp; C)</w:t>
            </w:r>
          </w:p>
        </w:tc>
        <w:tc>
          <w:tcPr>
            <w:tcW w:w="22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O</w:t>
            </w:r>
          </w:p>
        </w:tc>
        <w:tc>
          <w:tcPr>
            <w:tcW w:w="12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8"/>
        </w:trPr>
        <w:tc>
          <w:tcPr>
            <w:tcW w:w="1980" w:type="dxa"/>
            <w:vAlign w:val="bottom"/>
          </w:tcPr>
          <w:p>
            <w:pPr>
              <w:spacing w:after="0"/>
              <w:rPr>
                <w:sz w:val="14"/>
                <w:szCs w:val="14"/>
                <w:color w:val="auto"/>
              </w:rPr>
            </w:pPr>
          </w:p>
        </w:tc>
        <w:tc>
          <w:tcPr>
            <w:tcW w:w="1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Tahoe (4-Door)</w:t>
            </w:r>
          </w:p>
        </w:tc>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(F &amp; C)</w:t>
            </w:r>
          </w:p>
        </w:tc>
        <w:tc>
          <w:tcPr>
            <w:tcW w:w="22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O</w:t>
            </w:r>
          </w:p>
        </w:tc>
        <w:tc>
          <w:tcPr>
            <w:tcW w:w="1220" w:type="dxa"/>
            <w:vAlign w:val="bottom"/>
          </w:tcPr>
          <w:p>
            <w:pPr>
              <w:spacing w:after="0"/>
              <w:rPr>
                <w:sz w:val="14"/>
                <w:szCs w:val="14"/>
                <w:color w:val="auto"/>
              </w:rPr>
            </w:pPr>
          </w:p>
        </w:tc>
        <w:tc>
          <w:tcPr>
            <w:tcW w:w="20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F = Flat Glass</w:t>
            </w: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GM/GMC</w:t>
            </w:r>
          </w:p>
        </w:tc>
        <w:tc>
          <w:tcPr>
            <w:tcW w:w="1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Suburban</w:t>
            </w:r>
          </w:p>
        </w:tc>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(F &amp; C)</w:t>
            </w:r>
          </w:p>
        </w:tc>
        <w:tc>
          <w:tcPr>
            <w:tcW w:w="22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O</w:t>
            </w:r>
          </w:p>
        </w:tc>
        <w:tc>
          <w:tcPr>
            <w:tcW w:w="1220" w:type="dxa"/>
            <w:vAlign w:val="bottom"/>
          </w:tcPr>
          <w:p>
            <w:pPr>
              <w:spacing w:after="0"/>
              <w:rPr>
                <w:sz w:val="14"/>
                <w:szCs w:val="14"/>
                <w:color w:val="auto"/>
              </w:rPr>
            </w:pPr>
          </w:p>
        </w:tc>
        <w:tc>
          <w:tcPr>
            <w:tcW w:w="20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 = Convex Glass</w:t>
            </w: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8"/>
        </w:trPr>
        <w:tc>
          <w:tcPr>
            <w:tcW w:w="1980" w:type="dxa"/>
            <w:vAlign w:val="bottom"/>
          </w:tcPr>
          <w:p>
            <w:pPr>
              <w:spacing w:after="0"/>
              <w:rPr>
                <w:sz w:val="14"/>
                <w:szCs w:val="14"/>
                <w:color w:val="auto"/>
              </w:rPr>
            </w:pPr>
          </w:p>
        </w:tc>
        <w:tc>
          <w:tcPr>
            <w:tcW w:w="1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Yukon (2-Door)</w:t>
            </w:r>
          </w:p>
        </w:tc>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(F &amp; C)</w:t>
            </w:r>
          </w:p>
        </w:tc>
        <w:tc>
          <w:tcPr>
            <w:tcW w:w="22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O</w:t>
            </w:r>
          </w:p>
        </w:tc>
        <w:tc>
          <w:tcPr>
            <w:tcW w:w="1220" w:type="dxa"/>
            <w:vAlign w:val="bottom"/>
          </w:tcPr>
          <w:p>
            <w:pPr>
              <w:spacing w:after="0"/>
              <w:rPr>
                <w:sz w:val="14"/>
                <w:szCs w:val="14"/>
                <w:color w:val="auto"/>
              </w:rPr>
            </w:pPr>
          </w:p>
        </w:tc>
        <w:tc>
          <w:tcPr>
            <w:tcW w:w="20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 = Aspheric Glass</w:t>
            </w: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8"/>
        </w:trPr>
        <w:tc>
          <w:tcPr>
            <w:tcW w:w="1980" w:type="dxa"/>
            <w:vAlign w:val="bottom"/>
          </w:tcPr>
          <w:p>
            <w:pPr>
              <w:spacing w:after="0"/>
              <w:rPr>
                <w:sz w:val="14"/>
                <w:szCs w:val="14"/>
                <w:color w:val="auto"/>
              </w:rPr>
            </w:pPr>
          </w:p>
        </w:tc>
        <w:tc>
          <w:tcPr>
            <w:tcW w:w="1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Yukon (4-Door)</w:t>
            </w:r>
          </w:p>
        </w:tc>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(F &amp; C)</w:t>
            </w:r>
          </w:p>
        </w:tc>
        <w:tc>
          <w:tcPr>
            <w:tcW w:w="22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O</w:t>
            </w:r>
          </w:p>
        </w:tc>
        <w:tc>
          <w:tcPr>
            <w:tcW w:w="12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GM/Oldsmobile</w:t>
            </w:r>
          </w:p>
        </w:tc>
        <w:tc>
          <w:tcPr>
            <w:tcW w:w="1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88 Regency</w:t>
            </w:r>
          </w:p>
        </w:tc>
        <w:tc>
          <w:tcPr>
            <w:tcW w:w="880" w:type="dxa"/>
            <w:vAlign w:val="bottom"/>
          </w:tcPr>
          <w:p>
            <w:pPr>
              <w:spacing w:after="0"/>
              <w:rPr>
                <w:sz w:val="14"/>
                <w:szCs w:val="14"/>
                <w:color w:val="auto"/>
              </w:rPr>
            </w:pPr>
          </w:p>
        </w:tc>
        <w:tc>
          <w:tcPr>
            <w:tcW w:w="22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O</w:t>
            </w:r>
          </w:p>
        </w:tc>
        <w:tc>
          <w:tcPr>
            <w:tcW w:w="12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Ford/Lincoln</w:t>
            </w:r>
          </w:p>
        </w:tc>
        <w:tc>
          <w:tcPr>
            <w:tcW w:w="1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Continental</w:t>
            </w:r>
          </w:p>
        </w:tc>
        <w:tc>
          <w:tcPr>
            <w:tcW w:w="880" w:type="dxa"/>
            <w:vAlign w:val="bottom"/>
          </w:tcPr>
          <w:p>
            <w:pPr>
              <w:spacing w:after="0"/>
              <w:rPr>
                <w:sz w:val="14"/>
                <w:szCs w:val="14"/>
                <w:color w:val="auto"/>
              </w:rPr>
            </w:pPr>
          </w:p>
        </w:tc>
        <w:tc>
          <w:tcPr>
            <w:tcW w:w="22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O</w:t>
            </w:r>
          </w:p>
        </w:tc>
        <w:tc>
          <w:tcPr>
            <w:tcW w:w="12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8"/>
        </w:trPr>
        <w:tc>
          <w:tcPr>
            <w:tcW w:w="1980" w:type="dxa"/>
            <w:vAlign w:val="bottom"/>
          </w:tcPr>
          <w:p>
            <w:pPr>
              <w:spacing w:after="0"/>
              <w:rPr>
                <w:sz w:val="14"/>
                <w:szCs w:val="14"/>
                <w:color w:val="auto"/>
              </w:rPr>
            </w:pPr>
          </w:p>
        </w:tc>
        <w:tc>
          <w:tcPr>
            <w:tcW w:w="1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Town Car Cartier</w:t>
            </w:r>
          </w:p>
        </w:tc>
        <w:tc>
          <w:tcPr>
            <w:tcW w:w="880" w:type="dxa"/>
            <w:vAlign w:val="bottom"/>
          </w:tcPr>
          <w:p>
            <w:pPr>
              <w:spacing w:after="0"/>
              <w:rPr>
                <w:sz w:val="14"/>
                <w:szCs w:val="14"/>
                <w:color w:val="auto"/>
              </w:rPr>
            </w:pPr>
          </w:p>
        </w:tc>
        <w:tc>
          <w:tcPr>
            <w:tcW w:w="22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w:t>
            </w:r>
          </w:p>
        </w:tc>
        <w:tc>
          <w:tcPr>
            <w:tcW w:w="12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8"/>
        </w:trPr>
        <w:tc>
          <w:tcPr>
            <w:tcW w:w="1980" w:type="dxa"/>
            <w:vAlign w:val="bottom"/>
          </w:tcPr>
          <w:p>
            <w:pPr>
              <w:spacing w:after="0"/>
              <w:rPr>
                <w:sz w:val="14"/>
                <w:szCs w:val="14"/>
                <w:color w:val="auto"/>
              </w:rPr>
            </w:pPr>
          </w:p>
        </w:tc>
        <w:tc>
          <w:tcPr>
            <w:tcW w:w="1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Town Car Executive</w:t>
            </w:r>
          </w:p>
        </w:tc>
        <w:tc>
          <w:tcPr>
            <w:tcW w:w="880" w:type="dxa"/>
            <w:vAlign w:val="bottom"/>
          </w:tcPr>
          <w:p>
            <w:pPr>
              <w:spacing w:after="0"/>
              <w:rPr>
                <w:sz w:val="14"/>
                <w:szCs w:val="14"/>
                <w:color w:val="auto"/>
              </w:rPr>
            </w:pPr>
          </w:p>
        </w:tc>
        <w:tc>
          <w:tcPr>
            <w:tcW w:w="22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O</w:t>
            </w:r>
          </w:p>
        </w:tc>
        <w:tc>
          <w:tcPr>
            <w:tcW w:w="12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8"/>
        </w:trPr>
        <w:tc>
          <w:tcPr>
            <w:tcW w:w="1980" w:type="dxa"/>
            <w:vAlign w:val="bottom"/>
          </w:tcPr>
          <w:p>
            <w:pPr>
              <w:spacing w:after="0"/>
              <w:rPr>
                <w:sz w:val="14"/>
                <w:szCs w:val="14"/>
                <w:color w:val="auto"/>
              </w:rPr>
            </w:pPr>
          </w:p>
        </w:tc>
        <w:tc>
          <w:tcPr>
            <w:tcW w:w="1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Town Car Signature</w:t>
            </w:r>
          </w:p>
        </w:tc>
        <w:tc>
          <w:tcPr>
            <w:tcW w:w="880" w:type="dxa"/>
            <w:vAlign w:val="bottom"/>
          </w:tcPr>
          <w:p>
            <w:pPr>
              <w:spacing w:after="0"/>
              <w:rPr>
                <w:sz w:val="14"/>
                <w:szCs w:val="14"/>
                <w:color w:val="auto"/>
              </w:rPr>
            </w:pPr>
          </w:p>
        </w:tc>
        <w:tc>
          <w:tcPr>
            <w:tcW w:w="22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w:t>
            </w:r>
          </w:p>
        </w:tc>
        <w:tc>
          <w:tcPr>
            <w:tcW w:w="12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Chrysler</w:t>
            </w:r>
          </w:p>
        </w:tc>
        <w:tc>
          <w:tcPr>
            <w:tcW w:w="1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Town &amp; Country LXi</w:t>
            </w:r>
          </w:p>
        </w:tc>
        <w:tc>
          <w:tcPr>
            <w:tcW w:w="880" w:type="dxa"/>
            <w:vAlign w:val="bottom"/>
          </w:tcPr>
          <w:p>
            <w:pPr>
              <w:spacing w:after="0"/>
              <w:rPr>
                <w:sz w:val="14"/>
                <w:szCs w:val="14"/>
                <w:color w:val="auto"/>
              </w:rPr>
            </w:pPr>
          </w:p>
        </w:tc>
        <w:tc>
          <w:tcPr>
            <w:tcW w:w="22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w:t>
            </w:r>
          </w:p>
        </w:tc>
        <w:tc>
          <w:tcPr>
            <w:tcW w:w="12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Dodge</w:t>
            </w:r>
          </w:p>
        </w:tc>
        <w:tc>
          <w:tcPr>
            <w:tcW w:w="1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Grand Caravan ES</w:t>
            </w:r>
          </w:p>
        </w:tc>
        <w:tc>
          <w:tcPr>
            <w:tcW w:w="880" w:type="dxa"/>
            <w:vAlign w:val="bottom"/>
          </w:tcPr>
          <w:p>
            <w:pPr>
              <w:spacing w:after="0"/>
              <w:rPr>
                <w:sz w:val="14"/>
                <w:szCs w:val="14"/>
                <w:color w:val="auto"/>
              </w:rPr>
            </w:pPr>
          </w:p>
        </w:tc>
        <w:tc>
          <w:tcPr>
            <w:tcW w:w="22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w:t>
            </w:r>
          </w:p>
        </w:tc>
        <w:tc>
          <w:tcPr>
            <w:tcW w:w="12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Jeep</w:t>
            </w:r>
          </w:p>
        </w:tc>
        <w:tc>
          <w:tcPr>
            <w:tcW w:w="25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Grand Cherokee Ltd.</w:t>
            </w:r>
          </w:p>
        </w:tc>
        <w:tc>
          <w:tcPr>
            <w:tcW w:w="22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w:t>
            </w:r>
          </w:p>
        </w:tc>
        <w:tc>
          <w:tcPr>
            <w:tcW w:w="12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673"/>
        </w:trPr>
        <w:tc>
          <w:tcPr>
            <w:tcW w:w="6740" w:type="dxa"/>
            <w:vAlign w:val="bottom"/>
            <w:gridSpan w:val="4"/>
          </w:tcPr>
          <w:p>
            <w:pPr>
              <w:ind w:left="440"/>
              <w:spacing w:after="0"/>
              <w:rPr>
                <w:sz w:val="20"/>
                <w:szCs w:val="20"/>
                <w:color w:val="auto"/>
              </w:rPr>
            </w:pPr>
            <w:r>
              <w:rPr>
                <w:rFonts w:ascii="Courier New" w:cs="Courier New" w:eastAsia="Courier New" w:hAnsi="Courier New"/>
                <w:sz w:val="15"/>
                <w:szCs w:val="15"/>
                <w:color w:val="auto"/>
              </w:rPr>
              <w:t>Product Development.   The Company plans to continue introducing</w:t>
            </w:r>
          </w:p>
        </w:tc>
        <w:tc>
          <w:tcPr>
            <w:tcW w:w="12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68"/>
        </w:trPr>
        <w:tc>
          <w:tcPr>
            <w:tcW w:w="79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additional advanced-feature NVS(R) Mirrors.  These models currently include the</w:t>
            </w:r>
          </w:p>
        </w:tc>
        <w:tc>
          <w:tcPr>
            <w:tcW w:w="2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8"/>
        </w:trPr>
        <w:tc>
          <w:tcPr>
            <w:tcW w:w="79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third-generation NVS(R) Headlamp Control Mirror, the NVS(R) Lighted Mirror with</w:t>
            </w:r>
          </w:p>
        </w:tc>
        <w:tc>
          <w:tcPr>
            <w:tcW w:w="2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8"/>
        </w:trPr>
        <w:tc>
          <w:tcPr>
            <w:tcW w:w="674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8"/>
              </w:rPr>
              <w:t>incandescent and LED map lamps, the second-generation NVS(R) Compass Mirror,</w:t>
            </w:r>
          </w:p>
        </w:tc>
        <w:tc>
          <w:tcPr>
            <w:tcW w:w="12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the NVS(R) Mirror with</w:t>
            </w:r>
          </w:p>
        </w:tc>
        <w:tc>
          <w:tcPr>
            <w:tcW w:w="598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rPr>
              <w:t>Remote Keyless Entry, and the NVS(R) Compass/Temperature</w:t>
            </w:r>
          </w:p>
        </w:tc>
        <w:tc>
          <w:tcPr>
            <w:tcW w:w="2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Mirror.  Also in 1993,</w:t>
            </w:r>
          </w:p>
        </w:tc>
        <w:tc>
          <w:tcPr>
            <w:tcW w:w="598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rPr>
              <w:t>the Company introduced an NVS(R) Base Feature Mirror to</w:t>
            </w:r>
          </w:p>
        </w:tc>
        <w:tc>
          <w:tcPr>
            <w:tcW w:w="2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8"/>
        </w:trPr>
        <w:tc>
          <w:tcPr>
            <w:tcW w:w="674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6"/>
              </w:rPr>
              <w:t>target the high-volume, mid-priced vehicle segments, and larger-size interior</w:t>
            </w:r>
          </w:p>
        </w:tc>
        <w:tc>
          <w:tcPr>
            <w:tcW w:w="12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8"/>
        </w:trPr>
        <w:tc>
          <w:tcPr>
            <w:tcW w:w="674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and exterior NVS(R) Mirrors for use on vans and light trucks.  A</w:t>
            </w:r>
          </w:p>
        </w:tc>
        <w:tc>
          <w:tcPr>
            <w:tcW w:w="12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second-generation Base</w:t>
            </w:r>
          </w:p>
        </w:tc>
        <w:tc>
          <w:tcPr>
            <w:tcW w:w="598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rPr>
              <w:t>Feature Mirror was introduced in 1996.   In 1996, Gentex</w:t>
            </w:r>
          </w:p>
        </w:tc>
        <w:tc>
          <w:tcPr>
            <w:tcW w:w="2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8"/>
        </w:trPr>
        <w:tc>
          <w:tcPr>
            <w:tcW w:w="674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8"/>
              </w:rPr>
              <w:t>introduced the first automatic-dimming "aspheric" exterior mirror.  Aspheric</w:t>
            </w:r>
          </w:p>
        </w:tc>
        <w:tc>
          <w:tcPr>
            <w:tcW w:w="12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mirrors are wide-angle</w:t>
            </w:r>
          </w:p>
        </w:tc>
        <w:tc>
          <w:tcPr>
            <w:tcW w:w="476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rPr>
              <w:t>exterior mirrors that virtually eliminate the "blind</w:t>
            </w:r>
          </w:p>
        </w:tc>
        <w:tc>
          <w:tcPr>
            <w:tcW w:w="12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8"/>
        </w:trPr>
        <w:tc>
          <w:tcPr>
            <w:tcW w:w="79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spot."  During 1997, the Company introduced thin glass flat and convex exterior</w:t>
            </w:r>
          </w:p>
        </w:tc>
        <w:tc>
          <w:tcPr>
            <w:tcW w:w="2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8"/>
        </w:trPr>
        <w:tc>
          <w:tcPr>
            <w:tcW w:w="674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6"/>
              </w:rPr>
              <w:t>mirrors, and recently announced an NVS(R) Mirror incorporating Prince/Johnson</w:t>
            </w:r>
          </w:p>
        </w:tc>
        <w:tc>
          <w:tcPr>
            <w:tcW w:w="12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8"/>
        </w:trPr>
        <w:tc>
          <w:tcPr>
            <w:tcW w:w="674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6"/>
              </w:rPr>
              <w:t>Controls' new "AutoLink(TM)" intelligent automotive communications system for</w:t>
            </w:r>
          </w:p>
        </w:tc>
        <w:tc>
          <w:tcPr>
            <w:tcW w:w="12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the aftermarket.</w:t>
            </w:r>
          </w:p>
        </w:tc>
        <w:tc>
          <w:tcPr>
            <w:tcW w:w="1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673"/>
        </w:trPr>
        <w:tc>
          <w:tcPr>
            <w:tcW w:w="1980" w:type="dxa"/>
            <w:vAlign w:val="bottom"/>
          </w:tcPr>
          <w:p>
            <w:pPr>
              <w:spacing w:after="0"/>
              <w:rPr>
                <w:sz w:val="24"/>
                <w:szCs w:val="24"/>
                <w:color w:val="auto"/>
              </w:rPr>
            </w:pPr>
          </w:p>
        </w:tc>
        <w:tc>
          <w:tcPr>
            <w:tcW w:w="1620" w:type="dxa"/>
            <w:vAlign w:val="bottom"/>
          </w:tcPr>
          <w:p>
            <w:pPr>
              <w:ind w:left="1360"/>
              <w:spacing w:after="0"/>
              <w:rPr>
                <w:sz w:val="20"/>
                <w:szCs w:val="20"/>
                <w:color w:val="auto"/>
              </w:rPr>
            </w:pPr>
            <w:r>
              <w:rPr>
                <w:rFonts w:ascii="Courier New" w:cs="Courier New" w:eastAsia="Courier New" w:hAnsi="Courier New"/>
                <w:sz w:val="15"/>
                <w:szCs w:val="15"/>
                <w:color w:val="auto"/>
                <w:w w:val="88"/>
              </w:rPr>
              <w:t>-5-</w:t>
            </w:r>
          </w:p>
        </w:tc>
        <w:tc>
          <w:tcPr>
            <w:tcW w:w="8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sectPr>
          <w:pgSz w:w="11900" w:h="16838" w:orient="portrait"/>
          <w:cols w:equalWidth="0" w:num="1">
            <w:col w:w="11200"/>
          </w:cols>
          <w:pgMar w:left="220" w:top="281" w:right="479" w:bottom="1440" w:gutter="0" w:footer="0" w:header="0"/>
        </w:sectPr>
      </w:pPr>
    </w:p>
    <w:bookmarkStart w:id="6" w:name="page7"/>
    <w:bookmarkEnd w:id="6"/>
    <w:p>
      <w:pPr>
        <w:ind w:left="280"/>
        <w:spacing w:after="0"/>
        <w:rPr>
          <w:sz w:val="20"/>
          <w:szCs w:val="20"/>
          <w:color w:val="auto"/>
        </w:rPr>
      </w:pPr>
      <w:r>
        <w:rPr>
          <w:rFonts w:ascii="Courier New" w:cs="Courier New" w:eastAsia="Courier New" w:hAnsi="Courier New"/>
          <w:sz w:val="15"/>
          <w:szCs w:val="15"/>
          <w:color w:val="auto"/>
        </w:rPr>
        <w:t>6</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Of particular importance to the Company has been the development of its electrochromic technology for use in complete 3-mirror systems. In these systems, both the driver and passenger-side exterior NVS(R) Mirrors are controlled by the sensors and electronic circuitry in the interior rearview mirror, and the interior and both exterior mirrors dim simultaneously. The sale of complete mirror systems will increase the size of the available worldwide market, and the Company has been devoting substantial research and development efforts to this project, which resulted in its first shipments, including NVS(R) convex exterior mirrors, to BMW in 1994, and volume shipments, including thin flat and convex, to GM in 1997. At the end of 1996, the Company began shipping NVS(R) aspheric exterior mirrors to Mercedes-Benz, followed by volume shipments during 1997.</w:t>
      </w:r>
    </w:p>
    <w:p>
      <w:pPr>
        <w:spacing w:after="0" w:line="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Company's success with electrochromic technology provides an opportunity for other potential commercial applications, which the Company expects to explore in the future as resources permit. Examples of possible applications of electrochromic technology include windows for both the automotive and architectural markets, sunroofs and sunglasses. Progress in adapting electrochromic technology to the specialized requirements of the window market continued in 1997. However, achieving the rigorous performance standards needed for launching a commercial product still could require several years of additional work.</w:t>
      </w:r>
    </w:p>
    <w:p>
      <w:pPr>
        <w:spacing w:after="0" w:line="178" w:lineRule="exact"/>
        <w:rPr>
          <w:sz w:val="20"/>
          <w:szCs w:val="20"/>
          <w:color w:val="auto"/>
        </w:rPr>
      </w:pPr>
    </w:p>
    <w:p>
      <w:pPr>
        <w:ind w:right="3399" w:firstLine="437"/>
        <w:spacing w:after="0" w:line="237" w:lineRule="auto"/>
        <w:rPr>
          <w:sz w:val="20"/>
          <w:szCs w:val="20"/>
          <w:color w:val="auto"/>
        </w:rPr>
      </w:pPr>
      <w:r>
        <w:rPr>
          <w:rFonts w:ascii="Courier New" w:cs="Courier New" w:eastAsia="Courier New" w:hAnsi="Courier New"/>
          <w:sz w:val="15"/>
          <w:szCs w:val="15"/>
          <w:color w:val="auto"/>
        </w:rPr>
        <w:t>Markets and Marketing. The Company markets its automatic rearview mirrors to domestic and foreign automotive manufacturers under the trade name "Night Vision Safety(TM)" or NVS(R) Mirrors. In North America, the Company markets these products primarily through a direct sales force of six persons. The Company currently supplies NVS(R) Mirrors to Ford Motor Company, General Motors Corporation and Chrysler Motors Corporation under long-term agreements. During 1997, the Company negotiated a new five-year, lifetime contract for inside mirrors with General Motors through the 2002 model year, while a three-year long-term contract for outside mirrors runs through the 1998 model year. The term of the Ford contract is through December 1999, and the long-term supply agreement with Chrysler Corporation was recently extended through the 2003 model year. The Company's exterior NVS(R) Mirror Sub-Assemblies are supplied to General Motors, Ford and Chrysler by means of sales to four exterior mirror suppliers.</w:t>
      </w:r>
    </w:p>
    <w:p>
      <w:pPr>
        <w:spacing w:after="0" w:line="6"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During 1993, the Company established a sales and engineering office in Germany and hired its first employee in Europe. During 1994, the Company formed a German limited liability company, Gentex GmbH, to expand its sales and engineering support activities. The Company's marketing efforts in Europe are conducted through Gentex GmbH with the assistance of independent manufacturers' representatives. The Company is currently supplying mirrors to Audi, Bavarian Motor Works, A.G. (BMW), Fiat, Mercedes-Benz, Opel, Porsche and Rolls Royce. The Company has a long-term contract with BMW through March 31, 1999.</w:t>
      </w:r>
    </w:p>
    <w:p>
      <w:pPr>
        <w:spacing w:after="0" w:line="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During 1992, the Company negotiated a replacement reciprocal distribution agreement with Ichikoh Industries, Ltd. (Ichikoh), a major Japanese supplier of automotive products. Under this agreement, Ichikoh markets the Company's automatic mirrors to certain Japanese automakers and their subsidiaries with manufacturing facilities in Asia. The arrangement involves very limited technology transfer by the Company and does not include the Company's proprietary electrochromic gel formulation. The Company has been shipping electrochromic mirror assemblies under the original agreement since 1991 for Nissan Motor Co., Ltd.</w:t>
      </w:r>
    </w:p>
    <w:p>
      <w:pPr>
        <w:spacing w:after="0" w:line="10"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During 1993, the Company hired sales agent Continental Far East to market NVS(R) Mirrors to other Japanese automakers beyond Nissan. During 1994 and 1995, the Company began making mirror shipments to Tokai Rika Co., Ltd. for Toyota Lexus vehicle models. The Company began making direct mirror shipments to Honda and Mitsubishi, in 1995 and 1996, respectively. The Company plans to establish a sales and engineering office in Japan sometime during 1998.</w:t>
      </w:r>
    </w:p>
    <w:p>
      <w:pPr>
        <w:spacing w:after="0" w:line="32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281" w:right="1440" w:bottom="1440" w:gutter="0" w:footer="0" w:header="0"/>
        </w:sectPr>
      </w:pPr>
    </w:p>
    <w:bookmarkStart w:id="7" w:name="page8"/>
    <w:bookmarkEnd w:id="7"/>
    <w:p>
      <w:pPr>
        <w:ind w:left="280"/>
        <w:spacing w:after="0"/>
        <w:rPr>
          <w:sz w:val="20"/>
          <w:szCs w:val="20"/>
          <w:color w:val="auto"/>
        </w:rPr>
      </w:pPr>
      <w:r>
        <w:rPr>
          <w:rFonts w:ascii="Courier New" w:cs="Courier New" w:eastAsia="Courier New" w:hAnsi="Courier New"/>
          <w:sz w:val="15"/>
          <w:szCs w:val="15"/>
          <w:color w:val="auto"/>
        </w:rPr>
        <w:t>7</w:t>
      </w:r>
    </w:p>
    <w:p>
      <w:pPr>
        <w:spacing w:after="0" w:line="200" w:lineRule="exact"/>
        <w:rPr>
          <w:sz w:val="20"/>
          <w:szCs w:val="20"/>
          <w:color w:val="auto"/>
        </w:rPr>
      </w:pPr>
    </w:p>
    <w:p>
      <w:pPr>
        <w:spacing w:after="0" w:line="309"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Historically, new safety and comfort options have entered the original equipment automotive market at relatively low rates on "top of the line" or luxury model automobiles. As the selection rates for the options on the luxury models increase, they generally become available on more models throughout the product line and may become standard equipment. The recent trend of domestic and foreign automakers is to offer several options as a package. As consumer demand increases for a particular option, the mirror tends to be offered on more vehicles and in higher option rate packages. The Company anticipates that its NVS(R) Mirrors will be offered as standard equipment, in higher option rate packages and on more models as consumer awareness of the safety and comfort features becomes more well-known and acceptance grows.</w:t>
      </w:r>
    </w:p>
    <w:p>
      <w:pPr>
        <w:spacing w:after="0" w:line="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Company recently announced that it will build an NVS(R) Mirror incorporating Prince/Johnson Controls' new "AutoLink(TM)" intelligent automotive communications system for the aftermarket. Future derivatives of this product may have OEM sales potential in future years. The AutoLink(TM) Mirror will be marketed by Prince/Johnson Controls Inc. Currently, the Company directs no significant efforts to the sale of NVS(R) mirrors to the automotive aftermarket. It is management's belief that such efforts are of limited value until the Company achieves a significantly higher penetration of the original equipment manufacturing market.</w:t>
      </w:r>
    </w:p>
    <w:p>
      <w:pPr>
        <w:spacing w:after="0" w:line="178"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Competition. Gentex is the leading producer of automatic rearview mirrors in the world and currently is the dominant supplier to the automotive industry with an approximate 90% market share worldwide. While the Company believes it will retain a dominant position, one other U.S. manufacturer (Donnelly Corporation) is offering for sale to domestic and foreign vehicle manufacturers and is supplying a number of domestic and foreign vehicle models with its hybrid version of electrochromic mirrors. In addition, three Japanese manufacturers are supplying a number of vehicle models in Japan with solid-state electrochromic mirrors.</w:t>
      </w:r>
    </w:p>
    <w:p>
      <w:pPr>
        <w:spacing w:after="0" w:line="10"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Company believes its electrochromic automatic mirrors offer significant performance advantages, and that Donnelly shipped approximately 300,000 of its electrochromic mirrors to automotive customers in 1997. However, Gentex recognizes that Donnelly Corporation is considerably larger than the Company and presents a significant competitive threat by using pricing as its primary means to attempt to gain additional electrochromic mirror business. Gentex has been involved in patent litigation with Donnelly Corporation (see discussion under the caption "Legal Proceedings").</w:t>
      </w:r>
    </w:p>
    <w:p>
      <w:pPr>
        <w:spacing w:after="0" w:line="9"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There are numerous other companies in the world conducting research on various technologies, including electrochromics, for controlling light transmission and reflection. Gentex believes that the electrochromic materials and manufacturing process it uses for automotive mirrors remains the most efficient and cost-effective way to produce such products. While automatic-dimming mirrors using solid-state or hybrid electrochromics and liquid crystal displays may eliminate glare, each of these technologies have inherent cost or performance limitations.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FIRE PROTECTION PRODUCTS</w:t>
      </w:r>
    </w:p>
    <w:p>
      <w:pPr>
        <w:spacing w:after="0" w:line="173"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The Company manufactures over 60 different models of smoke detectors and over 160 different models of signaling appliances. All of the smoke detectors operate on a photoelectric principle to detect smoke. While the use of photoelectric technology entails greater manufacturing costs, the Company believes that these detectors are superior in performance to competitive devices that operate through an ionization process, and are preferred in most commercial residential occupancies. Photoelectric detectors feature low light-level detection, while ionization detectors utilize an ionized atmosphere, the electrical conductivity of which varies with changes in the composition of the atmosphere. Photoelectric detectors are widely recognized to respond more quickly to slow, smoldering fires, a common form of dwelling unit fire and a frequent cause of fire-related deaths. In addition, photoelectric detectors are less prone to nuisance alarms and do not require the use of radioactive materials necessary for ionization detectors. Photoelectric smoke detectors are now being required by an increasing number of city and state laws.</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281" w:right="1440" w:bottom="1440" w:gutter="0" w:footer="0" w:header="0"/>
        </w:sectPr>
      </w:pPr>
    </w:p>
    <w:bookmarkStart w:id="8" w:name="page9"/>
    <w:bookmarkEnd w:id="8"/>
    <w:p>
      <w:pPr>
        <w:ind w:left="280"/>
        <w:spacing w:after="0"/>
        <w:rPr>
          <w:sz w:val="20"/>
          <w:szCs w:val="20"/>
          <w:color w:val="auto"/>
        </w:rPr>
      </w:pPr>
      <w:r>
        <w:rPr>
          <w:rFonts w:ascii="Courier New" w:cs="Courier New" w:eastAsia="Courier New" w:hAnsi="Courier New"/>
          <w:sz w:val="15"/>
          <w:szCs w:val="15"/>
          <w:color w:val="auto"/>
        </w:rPr>
        <w:t>8</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The Company's fire protection products provide the flexibility to be wired as part of multiple-function systems and consequently are generally used in fire detection systems common to large office buildings, hotels, motels, military bases, college dormitories and other commercial establishments. However, the Company also offers single-station detectors for both commercial and residential applications. While the Company does not emphasize the residential market, some of its fire protection products are used in single-family residences that utilize fire protection and security systems.</w:t>
      </w:r>
    </w:p>
    <w:p>
      <w:pPr>
        <w:spacing w:after="0" w:line="3" w:lineRule="exact"/>
        <w:rPr>
          <w:sz w:val="20"/>
          <w:szCs w:val="20"/>
          <w:color w:val="auto"/>
        </w:rPr>
      </w:pPr>
    </w:p>
    <w:p>
      <w:pPr>
        <w:ind w:right="3679"/>
        <w:spacing w:after="0" w:line="254" w:lineRule="auto"/>
        <w:rPr>
          <w:sz w:val="20"/>
          <w:szCs w:val="20"/>
          <w:color w:val="auto"/>
        </w:rPr>
      </w:pPr>
      <w:r>
        <w:rPr>
          <w:rFonts w:ascii="Courier New" w:cs="Courier New" w:eastAsia="Courier New" w:hAnsi="Courier New"/>
          <w:sz w:val="14"/>
          <w:szCs w:val="14"/>
          <w:color w:val="auto"/>
        </w:rPr>
        <w:t>The Company's detectors emit audible and/or visual signals in the immediate location of the device and/or communicate with monitored remote stations.</w:t>
      </w:r>
    </w:p>
    <w:p>
      <w:pPr>
        <w:spacing w:after="0" w:line="1"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In recent years, the Company introduced further improvements to its line of smoke detectors, including submersibility to enhance maintenance, and a new design feature that permits greater ease in sensitivity testing. The Company offers the only detection device that may be completely submersed in water for cleaning purposes. This feature permits more effective and convenient cleaning of the product, thereby enhancing reliability. In addition, the patented sensitivity test feature permits the user to check the calibration of the least and most sensitive detection levels of the detector with the simple turn of a knob. In 1995, a National Fire Protection Association code for the eastern United States changed to require that all dwellings larger than 1-2 family must annually conduct this sensitivity test.</w:t>
      </w:r>
    </w:p>
    <w:p>
      <w:pPr>
        <w:spacing w:after="0" w:line="4"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During 1993, the Company introduced a 120 VAC photoelectric smoke detector with a 9-volt battery backup for use in the commercial residential markets and public-use facilities, as well as other facilities specified in regional or national building codes. In 1997, this product series added a temporal code 3 sounding element to meet the new code requirements. This new tone generated by the smoke detector is for alerting the occupants to evacuate the premises.</w:t>
      </w:r>
    </w:p>
    <w:p>
      <w:pPr>
        <w:spacing w:after="0" w:line="2"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The Company has also developed a new, high-intensity strobe warning light to meet the new, stricter Underwriters Laboratories standard for visual signaling for the hearing impaired. This new standard replaces the previous standard where light dispersion was only measured from directly in front of the unit. The new standard requires light to be dispersed at several critical angles to provide notification, regardless of the individual's position in the room of coverage, and also the light intensity is to be sized to the room.</w:t>
      </w:r>
    </w:p>
    <w:p>
      <w:pPr>
        <w:spacing w:after="0" w:line="2" w:lineRule="exact"/>
        <w:rPr>
          <w:sz w:val="20"/>
          <w:szCs w:val="20"/>
          <w:color w:val="auto"/>
        </w:rPr>
      </w:pPr>
    </w:p>
    <w:p>
      <w:pPr>
        <w:jc w:val="both"/>
        <w:ind w:right="3499" w:firstLine="437"/>
        <w:spacing w:after="0" w:line="235" w:lineRule="auto"/>
        <w:rPr>
          <w:sz w:val="20"/>
          <w:szCs w:val="20"/>
          <w:color w:val="auto"/>
        </w:rPr>
      </w:pPr>
      <w:r>
        <w:rPr>
          <w:rFonts w:ascii="Courier New" w:cs="Courier New" w:eastAsia="Courier New" w:hAnsi="Courier New"/>
          <w:sz w:val="15"/>
          <w:szCs w:val="15"/>
          <w:color w:val="auto"/>
        </w:rPr>
        <w:t>The new product series is used in conjunction with other Gentex products such as the remote signaling electronic horn, primary evacuation speaker, and smoke detection products.</w:t>
      </w:r>
    </w:p>
    <w:p>
      <w:pPr>
        <w:spacing w:after="0" w:line="5" w:lineRule="exact"/>
        <w:rPr>
          <w:sz w:val="20"/>
          <w:szCs w:val="20"/>
          <w:color w:val="auto"/>
        </w:rPr>
      </w:pPr>
    </w:p>
    <w:p>
      <w:pPr>
        <w:jc w:val="both"/>
        <w:ind w:right="3499" w:firstLine="437"/>
        <w:spacing w:after="0" w:line="234" w:lineRule="auto"/>
        <w:rPr>
          <w:sz w:val="20"/>
          <w:szCs w:val="20"/>
          <w:color w:val="auto"/>
        </w:rPr>
      </w:pPr>
      <w:r>
        <w:rPr>
          <w:rFonts w:ascii="Courier New" w:cs="Courier New" w:eastAsia="Courier New" w:hAnsi="Courier New"/>
          <w:sz w:val="15"/>
          <w:szCs w:val="15"/>
          <w:color w:val="auto"/>
        </w:rPr>
        <w:t>The Company currently is producing the only photoelectric smoke detector with battery back-up that offers a supplemental visual alarm.</w:t>
      </w:r>
    </w:p>
    <w:p>
      <w:pPr>
        <w:spacing w:after="0" w:line="5"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During 1995, the Company introduced a multi-tone audible signaling appliance to meet new building code requirements. This new multi-tone product line has eight different tones and a high/low decibel level selection. The multi-tone series also will be used in conjunction with the Company's visual signals.</w:t>
      </w:r>
    </w:p>
    <w:p>
      <w:pPr>
        <w:spacing w:after="0" w:line="6" w:lineRule="exact"/>
        <w:rPr>
          <w:sz w:val="20"/>
          <w:szCs w:val="20"/>
          <w:color w:val="auto"/>
        </w:rPr>
      </w:pPr>
    </w:p>
    <w:p>
      <w:pPr>
        <w:ind w:right="3579" w:firstLine="437"/>
        <w:spacing w:after="0" w:line="254" w:lineRule="auto"/>
        <w:rPr>
          <w:sz w:val="20"/>
          <w:szCs w:val="20"/>
          <w:color w:val="auto"/>
        </w:rPr>
      </w:pPr>
      <w:r>
        <w:rPr>
          <w:rFonts w:ascii="Courier New" w:cs="Courier New" w:eastAsia="Courier New" w:hAnsi="Courier New"/>
          <w:sz w:val="14"/>
          <w:szCs w:val="14"/>
          <w:color w:val="auto"/>
        </w:rPr>
        <w:t>During 1996, the Company made numerous revisions to its products to include weather-proofing the mechanical horn and strobe for outdoor use, increasing the power taps on their speaker series, adding three new candela ratings to their visual signals (strobe warning lights), and adding terminal blocks to the remote signaling appliances to meet new code requirements.</w:t>
      </w:r>
    </w:p>
    <w:p>
      <w:pPr>
        <w:spacing w:after="0" w:line="2"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During 1997, the Company introduced a new visual and audible signaling line. The visual (strobe) was designed to meet the Underwriters Laboratories standard without any loss of efficiency. This product draws the lowest amount of current consumption in the industry. It is also available with the largest array of visual intensities offered to meet virtually all room sizes and configurations.</w:t>
      </w:r>
    </w:p>
    <w:p>
      <w:pPr>
        <w:spacing w:after="0" w:line="7" w:lineRule="exact"/>
        <w:rPr>
          <w:sz w:val="20"/>
          <w:szCs w:val="20"/>
          <w:color w:val="auto"/>
        </w:rPr>
      </w:pPr>
    </w:p>
    <w:p>
      <w:pPr>
        <w:ind w:right="3579" w:firstLine="437"/>
        <w:spacing w:after="0" w:line="235" w:lineRule="auto"/>
        <w:rPr>
          <w:sz w:val="20"/>
          <w:szCs w:val="20"/>
          <w:color w:val="auto"/>
        </w:rPr>
      </w:pPr>
      <w:r>
        <w:rPr>
          <w:rFonts w:ascii="Courier New" w:cs="Courier New" w:eastAsia="Courier New" w:hAnsi="Courier New"/>
          <w:sz w:val="15"/>
          <w:szCs w:val="15"/>
          <w:color w:val="auto"/>
        </w:rPr>
        <w:t>Also, during 1997, the Company became one of the first companies in the fire alarm market to implement the temporal code 3 pattern on the smoke detection products.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281" w:right="1440" w:bottom="1440" w:gutter="0" w:footer="0" w:header="0"/>
        </w:sectPr>
      </w:pPr>
    </w:p>
    <w:bookmarkStart w:id="9" w:name="page10"/>
    <w:bookmarkEnd w:id="9"/>
    <w:p>
      <w:pPr>
        <w:ind w:left="280"/>
        <w:spacing w:after="0"/>
        <w:rPr>
          <w:sz w:val="20"/>
          <w:szCs w:val="20"/>
          <w:color w:val="auto"/>
        </w:rPr>
      </w:pPr>
      <w:r>
        <w:rPr>
          <w:rFonts w:ascii="Courier New" w:cs="Courier New" w:eastAsia="Courier New" w:hAnsi="Courier New"/>
          <w:sz w:val="15"/>
          <w:szCs w:val="15"/>
          <w:color w:val="auto"/>
        </w:rPr>
        <w:t>9</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Markets and Marketing. The Company's fire protection products are sold directly to fire protection and security product distributors under the Company's brand name, electrical wholesale houses, and to original equipment manufacturers of fire protection systems under both the Company's brand name and private labels. The Company markets its fire protection products throughout the United States through five regional sales managers.</w:t>
      </w:r>
    </w:p>
    <w:p>
      <w:pPr>
        <w:spacing w:after="0" w:line="175"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Competition. The fire protection products industry is highly competitive in terms of both the smoke detectors and signaling appliance markets. The Company estimates that it competes principally with eleven manufacturers of smoke detection products for commercial use and approximately four manufacturers within the residential market, three of which produce photoelectric smoke detectors. In the signaling appliance markets, the Company estimates it competes with approximately eight manufacturers. While the Company faces significant competition in the sale of smoke detectors and signaling appliances, it believes that the recent introduction of new products, improvements to its existing products, its diversified product line, and the availability of special features will permit the Company to maintain its competitive position.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TRADEMARKS AND PATENTS</w:t>
      </w:r>
    </w:p>
    <w:p>
      <w:pPr>
        <w:spacing w:after="0" w:line="173"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The Company owns 27 U.S. patents, 25 of which relate to electrochromic technology and/or automotive rearview mirrors. These patents expire between 2002 and 2015. The Company believes that these patents provide the Company a significant competitive advantage in the automotive rearview mirror market; however, none of these patents is required for the success of any of the Company's products. The remaining two U.S. patents relate to the Company's fire protection products, and the Company believes that the competitive advantage provided by these patents is relatively small.</w:t>
      </w:r>
    </w:p>
    <w:p>
      <w:pPr>
        <w:spacing w:after="0" w:line="9"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Company also owns 21 foreign patents, which relate to automotive rearview mirrors. These patents expire at various times between 1999 and 2015. The Company believes that the competitive advantage derived in the relevant foreign markets for these patents is comparable to that experienced in the U.S. market.</w:t>
      </w:r>
    </w:p>
    <w:p>
      <w:pPr>
        <w:spacing w:after="0" w:line="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Company also has in process 47 U.S. patent applications and 38 foreign patent applications. The Company continuously seeks to improve its core technologies and apply those technologies to new and existing products. As those efforts produce patentable inventions, the Company expects to file appropriate patent applications.</w:t>
      </w:r>
    </w:p>
    <w:p>
      <w:pPr>
        <w:spacing w:after="0" w:line="6" w:lineRule="exact"/>
        <w:rPr>
          <w:sz w:val="20"/>
          <w:szCs w:val="20"/>
          <w:color w:val="auto"/>
        </w:rPr>
      </w:pPr>
    </w:p>
    <w:p>
      <w:pPr>
        <w:ind w:right="3759" w:firstLine="437"/>
        <w:spacing w:after="0" w:line="235" w:lineRule="auto"/>
        <w:rPr>
          <w:sz w:val="20"/>
          <w:szCs w:val="20"/>
          <w:color w:val="auto"/>
        </w:rPr>
      </w:pPr>
      <w:r>
        <w:rPr>
          <w:rFonts w:ascii="Courier New" w:cs="Courier New" w:eastAsia="Courier New" w:hAnsi="Courier New"/>
          <w:sz w:val="15"/>
          <w:szCs w:val="15"/>
          <w:color w:val="auto"/>
        </w:rPr>
        <w:t>During 1996, the Company settled virtually all patent litigation with respect to its rearview mirrors (see discussion under the caption, "Legal Proceedings").</w:t>
      </w:r>
    </w:p>
    <w:p>
      <w:pPr>
        <w:spacing w:after="0" w:line="5" w:lineRule="exact"/>
        <w:rPr>
          <w:sz w:val="20"/>
          <w:szCs w:val="20"/>
          <w:color w:val="auto"/>
        </w:rPr>
      </w:pPr>
    </w:p>
    <w:p>
      <w:pPr>
        <w:ind w:right="3679" w:firstLine="437"/>
        <w:spacing w:after="0" w:line="235" w:lineRule="auto"/>
        <w:rPr>
          <w:sz w:val="20"/>
          <w:szCs w:val="20"/>
          <w:color w:val="auto"/>
        </w:rPr>
      </w:pPr>
      <w:r>
        <w:rPr>
          <w:rFonts w:ascii="Courier New" w:cs="Courier New" w:eastAsia="Courier New" w:hAnsi="Courier New"/>
          <w:sz w:val="15"/>
          <w:szCs w:val="15"/>
          <w:color w:val="auto"/>
        </w:rPr>
        <w:t>"Night Vision Safety(TM)" and "A Smarter Vision(TM)" are trademarks of Gentex Corporation and "NVS(R)" is a registered trademark of Gentex Corporation.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MISCELLANEOUS</w:t>
      </w:r>
    </w:p>
    <w:p>
      <w:pPr>
        <w:spacing w:after="0" w:line="173"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The Company considers itself to be engaged in business in two industry segments: the manufacture and sale of automatic rearview mirrors for the automotive industry and fire protection products for the commercial building industry. The Company has four important customers within the automotive industry segment, each of which accounts for approximately 10% or more of the Company's annual sales: General Motors Corporation, Mercedes-Benz, Chrysler Corporation and Ford Motor Company. The loss of any of these customers could have a material adverse effect on the Company. The Company's backlog of unshipped orders was $52,881,000 and $39,782,000 at March 1, 1998 and 1997, respectively.</w:t>
      </w:r>
    </w:p>
    <w:p>
      <w:pPr>
        <w:spacing w:after="0" w:line="11"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At March 1, 1998, the Company had 1,250 full-time employees. None of the Company's employees are represented by a labor union or other collective bargaining representative. The Company believes that its relations with its employees are good.</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281" w:right="1440" w:bottom="1440" w:gutter="0" w:footer="0" w:header="0"/>
        </w:sectPr>
      </w:pPr>
    </w:p>
    <w:bookmarkStart w:id="10" w:name="page11"/>
    <w:bookmarkEnd w:id="10"/>
    <w:p>
      <w:pPr>
        <w:ind w:left="280"/>
        <w:spacing w:after="0"/>
        <w:rPr>
          <w:sz w:val="20"/>
          <w:szCs w:val="20"/>
          <w:color w:val="auto"/>
        </w:rPr>
      </w:pPr>
      <w:r>
        <w:rPr>
          <w:rFonts w:ascii="Courier New" w:cs="Courier New" w:eastAsia="Courier New" w:hAnsi="Courier New"/>
          <w:sz w:val="15"/>
          <w:szCs w:val="15"/>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PROPERTIES.</w:t>
      </w:r>
    </w:p>
    <w:p>
      <w:pPr>
        <w:spacing w:after="0" w:line="173" w:lineRule="exact"/>
        <w:rPr>
          <w:sz w:val="20"/>
          <w:szCs w:val="20"/>
          <w:color w:val="auto"/>
        </w:rPr>
      </w:pPr>
    </w:p>
    <w:p>
      <w:pPr>
        <w:ind w:right="3579" w:firstLine="437"/>
        <w:spacing w:after="0" w:line="236" w:lineRule="auto"/>
        <w:rPr>
          <w:sz w:val="20"/>
          <w:szCs w:val="20"/>
          <w:color w:val="auto"/>
        </w:rPr>
      </w:pPr>
      <w:r>
        <w:rPr>
          <w:rFonts w:ascii="Courier New" w:cs="Courier New" w:eastAsia="Courier New" w:hAnsi="Courier New"/>
          <w:sz w:val="15"/>
          <w:szCs w:val="15"/>
          <w:color w:val="auto"/>
        </w:rPr>
        <w:t>The Company operates out of three office/manufacturing facilities in Zeeland, Michigan, approximately 25 miles southwest of Grand Rapids. The office and production facility for the Fire Protection Products Group is a 25,000-square-foot, one-story building leased by the Company since 1978 from related parties (see Part III, Item 13, of this report).</w:t>
      </w:r>
    </w:p>
    <w:p>
      <w:pPr>
        <w:spacing w:after="0" w:line="6" w:lineRule="exact"/>
        <w:rPr>
          <w:sz w:val="20"/>
          <w:szCs w:val="20"/>
          <w:color w:val="auto"/>
        </w:rPr>
      </w:pPr>
    </w:p>
    <w:p>
      <w:pPr>
        <w:ind w:right="3399" w:firstLine="437"/>
        <w:spacing w:after="0" w:line="254" w:lineRule="auto"/>
        <w:rPr>
          <w:sz w:val="20"/>
          <w:szCs w:val="20"/>
          <w:color w:val="auto"/>
        </w:rPr>
      </w:pPr>
      <w:r>
        <w:rPr>
          <w:rFonts w:ascii="Courier New" w:cs="Courier New" w:eastAsia="Courier New" w:hAnsi="Courier New"/>
          <w:sz w:val="14"/>
          <w:szCs w:val="14"/>
          <w:color w:val="auto"/>
        </w:rPr>
        <w:t>The corporate office and production facility for the Company's Automotive Products Group is a modern, two-story, 130,000-square-foot building of steel and masonry construction situated on a 40-acre site in a well-kept industrial park, providing ample opportunity for expansion. An additional</w:t>
      </w:r>
    </w:p>
    <w:p>
      <w:pPr>
        <w:spacing w:after="0" w:line="1"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128,000-square-foot office/manufacturing facility on this site was constructed during 1996, to meet the Company's current and near term future automotive production needs. The Company currently anticipates expanding its automotive production facilities by constructing a third facility on its current site sometime within the next twelve to twenty-four months.</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4"/>
          <w:szCs w:val="14"/>
          <w:color w:val="auto"/>
        </w:rPr>
        <w:t>LEGAL PROCEEDINGS</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None that are material.</w:t>
      </w:r>
    </w:p>
    <w:p>
      <w:pPr>
        <w:spacing w:after="0" w:line="33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281" w:right="1440" w:bottom="1440" w:gutter="0" w:footer="0" w:header="0"/>
        </w:sectPr>
      </w:pPr>
    </w:p>
    <w:bookmarkStart w:id="11" w:name="page12"/>
    <w:bookmarkEnd w:id="11"/>
    <w:p>
      <w:pPr>
        <w:ind w:left="280"/>
        <w:spacing w:after="0"/>
        <w:rPr>
          <w:sz w:val="20"/>
          <w:szCs w:val="20"/>
          <w:color w:val="auto"/>
        </w:rPr>
      </w:pPr>
      <w:r>
        <w:rPr>
          <w:rFonts w:ascii="Courier New" w:cs="Courier New" w:eastAsia="Courier New" w:hAnsi="Courier New"/>
          <w:sz w:val="15"/>
          <w:szCs w:val="15"/>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OFFICERS OF THE REGISTRANT.</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 following table lists the names, ages, and positions of all of the Company's executive officers. Officers are elected at the first meeting of the Board of Directors following the annual meeting of shareholders.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0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rPr>
              <w:t>AGE</w:t>
            </w:r>
          </w:p>
        </w:tc>
        <w:tc>
          <w:tcPr>
            <w:tcW w:w="1440" w:type="dxa"/>
            <w:vAlign w:val="bottom"/>
          </w:tcPr>
          <w:p>
            <w:pPr>
              <w:ind w:left="700"/>
              <w:spacing w:after="0"/>
              <w:rPr>
                <w:sz w:val="20"/>
                <w:szCs w:val="20"/>
                <w:color w:val="auto"/>
              </w:rPr>
            </w:pPr>
            <w:r>
              <w:rPr>
                <w:rFonts w:ascii="Courier New" w:cs="Courier New" w:eastAsia="Courier New" w:hAnsi="Courier New"/>
                <w:sz w:val="15"/>
                <w:szCs w:val="15"/>
                <w:color w:val="auto"/>
                <w:w w:val="99"/>
              </w:rPr>
              <w:t>POSITION</w:t>
            </w:r>
          </w:p>
        </w:tc>
        <w:tc>
          <w:tcPr>
            <w:tcW w:w="1880" w:type="dxa"/>
            <w:vAlign w:val="bottom"/>
          </w:tcPr>
          <w:p>
            <w:pPr>
              <w:spacing w:after="0"/>
              <w:rPr>
                <w:sz w:val="14"/>
                <w:szCs w:val="14"/>
                <w:color w:val="auto"/>
              </w:rPr>
            </w:pPr>
          </w:p>
        </w:tc>
        <w:tc>
          <w:tcPr>
            <w:tcW w:w="1740" w:type="dxa"/>
            <w:vAlign w:val="bottom"/>
          </w:tcPr>
          <w:p>
            <w:pPr>
              <w:ind w:left="80"/>
              <w:spacing w:after="0"/>
              <w:rPr>
                <w:sz w:val="20"/>
                <w:szCs w:val="20"/>
                <w:color w:val="auto"/>
              </w:rPr>
            </w:pPr>
            <w:r>
              <w:rPr>
                <w:rFonts w:ascii="Courier New" w:cs="Courier New" w:eastAsia="Courier New" w:hAnsi="Courier New"/>
                <w:sz w:val="15"/>
                <w:szCs w:val="15"/>
                <w:color w:val="auto"/>
                <w:w w:val="95"/>
              </w:rPr>
              <w:t>POSITION HELD SINCE</w:t>
            </w:r>
          </w:p>
        </w:tc>
      </w:tr>
      <w:tr>
        <w:trPr>
          <w:trHeight w:val="336"/>
        </w:trPr>
        <w:tc>
          <w:tcPr>
            <w:tcW w:w="1500" w:type="dxa"/>
            <w:vAlign w:val="bottom"/>
          </w:tcPr>
          <w:p>
            <w:pPr>
              <w:spacing w:after="0"/>
              <w:rPr>
                <w:sz w:val="20"/>
                <w:szCs w:val="20"/>
                <w:color w:val="auto"/>
              </w:rPr>
            </w:pPr>
            <w:r>
              <w:rPr>
                <w:rFonts w:ascii="Courier New" w:cs="Courier New" w:eastAsia="Courier New" w:hAnsi="Courier New"/>
                <w:sz w:val="15"/>
                <w:szCs w:val="15"/>
                <w:color w:val="auto"/>
              </w:rPr>
              <w:t>Fred Bauer</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rPr>
              <w:t>55</w:t>
            </w:r>
          </w:p>
        </w:tc>
        <w:tc>
          <w:tcPr>
            <w:tcW w:w="1440" w:type="dxa"/>
            <w:vAlign w:val="bottom"/>
          </w:tcPr>
          <w:p>
            <w:pPr>
              <w:ind w:left="80"/>
              <w:spacing w:after="0"/>
              <w:rPr>
                <w:sz w:val="20"/>
                <w:szCs w:val="20"/>
                <w:color w:val="auto"/>
              </w:rPr>
            </w:pPr>
            <w:r>
              <w:rPr>
                <w:rFonts w:ascii="Courier New" w:cs="Courier New" w:eastAsia="Courier New" w:hAnsi="Courier New"/>
                <w:sz w:val="15"/>
                <w:szCs w:val="15"/>
                <w:color w:val="auto"/>
                <w:w w:val="99"/>
              </w:rPr>
              <w:t>Chief Executive</w:t>
            </w:r>
          </w:p>
        </w:tc>
        <w:tc>
          <w:tcPr>
            <w:tcW w:w="1880" w:type="dxa"/>
            <w:vAlign w:val="bottom"/>
          </w:tcPr>
          <w:p>
            <w:pPr>
              <w:ind w:left="40"/>
              <w:spacing w:after="0"/>
              <w:rPr>
                <w:sz w:val="20"/>
                <w:szCs w:val="20"/>
                <w:color w:val="auto"/>
              </w:rPr>
            </w:pPr>
            <w:r>
              <w:rPr>
                <w:rFonts w:ascii="Courier New" w:cs="Courier New" w:eastAsia="Courier New" w:hAnsi="Courier New"/>
                <w:sz w:val="15"/>
                <w:szCs w:val="15"/>
                <w:color w:val="auto"/>
              </w:rPr>
              <w:t>Officer</w:t>
            </w:r>
          </w:p>
        </w:tc>
        <w:tc>
          <w:tcPr>
            <w:tcW w:w="1740" w:type="dxa"/>
            <w:vAlign w:val="bottom"/>
          </w:tcPr>
          <w:p>
            <w:pPr>
              <w:ind w:left="340"/>
              <w:spacing w:after="0"/>
              <w:rPr>
                <w:sz w:val="20"/>
                <w:szCs w:val="20"/>
                <w:color w:val="auto"/>
              </w:rPr>
            </w:pPr>
            <w:r>
              <w:rPr>
                <w:rFonts w:ascii="Courier New" w:cs="Courier New" w:eastAsia="Courier New" w:hAnsi="Courier New"/>
                <w:sz w:val="15"/>
                <w:szCs w:val="15"/>
                <w:color w:val="auto"/>
              </w:rPr>
              <w:t>May 1986</w:t>
            </w:r>
          </w:p>
        </w:tc>
      </w:tr>
      <w:tr>
        <w:trPr>
          <w:trHeight w:val="168"/>
        </w:trPr>
        <w:tc>
          <w:tcPr>
            <w:tcW w:w="1500" w:type="dxa"/>
            <w:vAlign w:val="bottom"/>
          </w:tcPr>
          <w:p>
            <w:pPr>
              <w:spacing w:after="0" w:line="168" w:lineRule="exact"/>
              <w:rPr>
                <w:sz w:val="20"/>
                <w:szCs w:val="20"/>
                <w:color w:val="auto"/>
              </w:rPr>
            </w:pPr>
            <w:r>
              <w:rPr>
                <w:rFonts w:ascii="Courier New" w:cs="Courier New" w:eastAsia="Courier New" w:hAnsi="Courier New"/>
                <w:sz w:val="15"/>
                <w:szCs w:val="15"/>
                <w:color w:val="auto"/>
              </w:rPr>
              <w:t>Kenneth La Grand</w:t>
            </w:r>
          </w:p>
        </w:tc>
        <w:tc>
          <w:tcPr>
            <w:tcW w:w="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57</w:t>
            </w:r>
          </w:p>
        </w:tc>
        <w:tc>
          <w:tcPr>
            <w:tcW w:w="332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Executive Vice President</w:t>
            </w:r>
          </w:p>
        </w:tc>
        <w:tc>
          <w:tcPr>
            <w:tcW w:w="17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September 1987</w:t>
            </w:r>
          </w:p>
        </w:tc>
      </w:tr>
      <w:tr>
        <w:trPr>
          <w:trHeight w:val="168"/>
        </w:trPr>
        <w:tc>
          <w:tcPr>
            <w:tcW w:w="1500" w:type="dxa"/>
            <w:vAlign w:val="bottom"/>
          </w:tcPr>
          <w:p>
            <w:pPr>
              <w:spacing w:after="0" w:line="168" w:lineRule="exact"/>
              <w:rPr>
                <w:sz w:val="20"/>
                <w:szCs w:val="20"/>
                <w:color w:val="auto"/>
              </w:rPr>
            </w:pPr>
            <w:r>
              <w:rPr>
                <w:rFonts w:ascii="Courier New" w:cs="Courier New" w:eastAsia="Courier New" w:hAnsi="Courier New"/>
                <w:sz w:val="15"/>
                <w:szCs w:val="15"/>
                <w:color w:val="auto"/>
              </w:rPr>
              <w:t>John Mulder</w:t>
            </w:r>
          </w:p>
        </w:tc>
        <w:tc>
          <w:tcPr>
            <w:tcW w:w="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61</w:t>
            </w:r>
          </w:p>
        </w:tc>
        <w:tc>
          <w:tcPr>
            <w:tcW w:w="1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9"/>
              </w:rPr>
              <w:t>Vice President,</w:t>
            </w:r>
          </w:p>
        </w:tc>
        <w:tc>
          <w:tcPr>
            <w:tcW w:w="1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Automotive Marketing</w:t>
            </w:r>
          </w:p>
        </w:tc>
        <w:tc>
          <w:tcPr>
            <w:tcW w:w="17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July 1988</w:t>
            </w:r>
          </w:p>
        </w:tc>
      </w:tr>
      <w:tr>
        <w:trPr>
          <w:trHeight w:val="168"/>
        </w:trPr>
        <w:tc>
          <w:tcPr>
            <w:tcW w:w="1500" w:type="dxa"/>
            <w:vAlign w:val="bottom"/>
          </w:tcPr>
          <w:p>
            <w:pPr>
              <w:spacing w:after="0" w:line="168" w:lineRule="exact"/>
              <w:rPr>
                <w:sz w:val="20"/>
                <w:szCs w:val="20"/>
                <w:color w:val="auto"/>
              </w:rPr>
            </w:pPr>
            <w:r>
              <w:rPr>
                <w:rFonts w:ascii="Courier New" w:cs="Courier New" w:eastAsia="Courier New" w:hAnsi="Courier New"/>
                <w:sz w:val="15"/>
                <w:szCs w:val="15"/>
                <w:color w:val="auto"/>
              </w:rPr>
              <w:t>Enoch Jen</w:t>
            </w:r>
          </w:p>
        </w:tc>
        <w:tc>
          <w:tcPr>
            <w:tcW w:w="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46</w:t>
            </w:r>
          </w:p>
        </w:tc>
        <w:tc>
          <w:tcPr>
            <w:tcW w:w="332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Vice President-Finance, Treasurer</w:t>
            </w:r>
          </w:p>
        </w:tc>
        <w:tc>
          <w:tcPr>
            <w:tcW w:w="17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February 1991</w:t>
            </w: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4019" w:firstLine="437"/>
        <w:spacing w:after="0" w:line="234" w:lineRule="auto"/>
        <w:rPr>
          <w:sz w:val="20"/>
          <w:szCs w:val="20"/>
          <w:color w:val="auto"/>
        </w:rPr>
      </w:pPr>
      <w:r>
        <w:rPr>
          <w:rFonts w:ascii="Courier New" w:cs="Courier New" w:eastAsia="Courier New" w:hAnsi="Courier New"/>
          <w:sz w:val="15"/>
          <w:szCs w:val="15"/>
          <w:color w:val="auto"/>
        </w:rPr>
        <w:t>There are no family relationships among the officers listed in the preceding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281" w:right="1440" w:bottom="1440" w:gutter="0" w:footer="0" w:header="0"/>
        </w:sectPr>
      </w:pPr>
    </w:p>
    <w:bookmarkStart w:id="12" w:name="page13"/>
    <w:bookmarkEnd w:id="12"/>
    <w:p>
      <w:pPr>
        <w:ind w:left="280"/>
        <w:spacing w:after="0"/>
        <w:rPr>
          <w:sz w:val="20"/>
          <w:szCs w:val="20"/>
          <w:color w:val="auto"/>
        </w:rPr>
      </w:pPr>
      <w:r>
        <w:rPr>
          <w:rFonts w:ascii="Courier New" w:cs="Courier New" w:eastAsia="Courier New" w:hAnsi="Courier New"/>
          <w:sz w:val="15"/>
          <w:szCs w:val="15"/>
          <w:color w:val="auto"/>
        </w:rPr>
        <w:t>12</w:t>
      </w:r>
    </w:p>
    <w:p>
      <w:pPr>
        <w:spacing w:after="0" w:line="33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PART II</w:t>
      </w:r>
    </w:p>
    <w:p>
      <w:pPr>
        <w:spacing w:after="0" w:line="341"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ITEM 5. MARKET FOR THE REGISTRANT'S COMMON STOCK AND RELATED SECURITY HOLDER MATTERS.</w:t>
      </w:r>
    </w:p>
    <w:p>
      <w:pPr>
        <w:spacing w:after="0" w:line="173"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The Company's common stock trades on the National Market tier of The Nasdaq Stock Market. As of March 2, 1998, there were 1,959 record holders of the Company's common stock. Ranges of high and low sale prices of the Company's common stock (adjusted for the 2-for-1 stock split in June 1996) reported through The Nasdaq Stock Market for the past two fiscal years appear in the following table.</w:t>
      </w:r>
    </w:p>
    <w:p>
      <w:pPr>
        <w:spacing w:after="0" w:line="200" w:lineRule="exact"/>
        <w:rPr>
          <w:sz w:val="20"/>
          <w:szCs w:val="20"/>
          <w:color w:val="auto"/>
        </w:rPr>
      </w:pPr>
    </w:p>
    <w:p>
      <w:pPr>
        <w:spacing w:after="0" w:line="305" w:lineRule="exact"/>
        <w:rPr>
          <w:sz w:val="20"/>
          <w:szCs w:val="20"/>
          <w:color w:val="auto"/>
        </w:rPr>
      </w:pPr>
    </w:p>
    <w:p>
      <w:pPr>
        <w:ind w:left="2100"/>
        <w:spacing w:after="0"/>
        <w:tabs>
          <w:tab w:leader="none" w:pos="2620" w:val="left"/>
          <w:tab w:leader="none" w:pos="3480" w:val="left"/>
          <w:tab w:leader="none" w:pos="4280" w:val="left"/>
        </w:tabs>
        <w:rPr>
          <w:sz w:val="20"/>
          <w:szCs w:val="20"/>
          <w:color w:val="auto"/>
        </w:rPr>
      </w:pPr>
      <w:r>
        <w:rPr>
          <w:rFonts w:ascii="Courier New" w:cs="Courier New" w:eastAsia="Courier New" w:hAnsi="Courier New"/>
          <w:sz w:val="15"/>
          <w:szCs w:val="15"/>
          <w:color w:val="auto"/>
        </w:rPr>
        <w:t>YEAR</w:t>
        <w:tab/>
        <w:t>QUARTER</w:t>
        <w:tab/>
        <w:t>HIGH</w:t>
      </w:r>
      <w:r>
        <w:rPr>
          <w:sz w:val="20"/>
          <w:szCs w:val="20"/>
          <w:color w:val="auto"/>
        </w:rPr>
        <w:tab/>
      </w:r>
      <w:r>
        <w:rPr>
          <w:rFonts w:ascii="Courier New" w:cs="Courier New" w:eastAsia="Courier New" w:hAnsi="Courier New"/>
          <w:sz w:val="14"/>
          <w:szCs w:val="14"/>
          <w:color w:val="auto"/>
        </w:rPr>
        <w:t>LOW</w:t>
      </w:r>
    </w:p>
    <w:p>
      <w:pPr>
        <w:ind w:left="2100"/>
        <w:spacing w:after="0" w:line="237" w:lineRule="auto"/>
        <w:rPr>
          <w:sz w:val="20"/>
          <w:szCs w:val="20"/>
          <w:color w:val="auto"/>
        </w:rPr>
      </w:pPr>
      <w:r>
        <w:rPr>
          <w:rFonts w:ascii="Courier New" w:cs="Courier New" w:eastAsia="Courier New" w:hAnsi="Courier New"/>
          <w:sz w:val="15"/>
          <w:szCs w:val="15"/>
          <w:color w:val="auto"/>
        </w:rPr>
        <w:t>-------------------------------</w:t>
      </w:r>
    </w:p>
    <w:tbl>
      <w:tblPr>
        <w:tblLayout w:type="fixed"/>
        <w:tblInd w:w="2100" w:type="dxa"/>
        <w:tblCellMar>
          <w:top w:w="0" w:type="dxa"/>
          <w:left w:w="0" w:type="dxa"/>
          <w:bottom w:w="0" w:type="dxa"/>
          <w:right w:w="0" w:type="dxa"/>
        </w:tblCellMar>
      </w:tblPr>
      <w:tr>
        <w:trPr>
          <w:trHeight w:val="169"/>
        </w:trPr>
        <w:tc>
          <w:tcPr>
            <w:tcW w:w="440" w:type="dxa"/>
            <w:vAlign w:val="bottom"/>
          </w:tcPr>
          <w:p>
            <w:pPr>
              <w:jc w:val="right"/>
              <w:ind w:right="7"/>
              <w:spacing w:after="0" w:line="169" w:lineRule="exact"/>
              <w:rPr>
                <w:sz w:val="20"/>
                <w:szCs w:val="20"/>
                <w:color w:val="auto"/>
              </w:rPr>
            </w:pPr>
            <w:r>
              <w:rPr>
                <w:rFonts w:ascii="Courier New" w:cs="Courier New" w:eastAsia="Courier New" w:hAnsi="Courier New"/>
                <w:sz w:val="15"/>
                <w:szCs w:val="15"/>
                <w:color w:val="auto"/>
                <w:w w:val="94"/>
              </w:rPr>
              <w:t>1996</w:t>
            </w:r>
          </w:p>
        </w:tc>
        <w:tc>
          <w:tcPr>
            <w:tcW w:w="740" w:type="dxa"/>
            <w:vAlign w:val="bottom"/>
          </w:tcPr>
          <w:p>
            <w:pPr>
              <w:ind w:left="100"/>
              <w:spacing w:after="0" w:line="169" w:lineRule="exact"/>
              <w:rPr>
                <w:sz w:val="20"/>
                <w:szCs w:val="20"/>
                <w:color w:val="auto"/>
              </w:rPr>
            </w:pPr>
            <w:r>
              <w:rPr>
                <w:rFonts w:ascii="Courier New" w:cs="Courier New" w:eastAsia="Courier New" w:hAnsi="Courier New"/>
                <w:sz w:val="15"/>
                <w:szCs w:val="15"/>
                <w:color w:val="auto"/>
              </w:rPr>
              <w:t>First</w:t>
            </w:r>
          </w:p>
        </w:tc>
        <w:tc>
          <w:tcPr>
            <w:tcW w:w="36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15</w:t>
            </w:r>
          </w:p>
        </w:tc>
        <w:tc>
          <w:tcPr>
            <w:tcW w:w="480" w:type="dxa"/>
            <w:vAlign w:val="bottom"/>
          </w:tcPr>
          <w:p>
            <w:pPr>
              <w:jc w:val="right"/>
              <w:ind w:right="7"/>
              <w:spacing w:after="0" w:line="169" w:lineRule="exact"/>
              <w:rPr>
                <w:sz w:val="20"/>
                <w:szCs w:val="20"/>
                <w:color w:val="auto"/>
              </w:rPr>
            </w:pPr>
            <w:r>
              <w:rPr>
                <w:rFonts w:ascii="Courier New" w:cs="Courier New" w:eastAsia="Courier New" w:hAnsi="Courier New"/>
                <w:sz w:val="15"/>
                <w:szCs w:val="15"/>
                <w:color w:val="auto"/>
              </w:rPr>
              <w:t>7/16</w:t>
            </w:r>
          </w:p>
        </w:tc>
        <w:tc>
          <w:tcPr>
            <w:tcW w:w="30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10</w:t>
            </w:r>
          </w:p>
        </w:tc>
        <w:tc>
          <w:tcPr>
            <w:tcW w:w="32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1/2</w:t>
            </w:r>
          </w:p>
        </w:tc>
      </w:tr>
      <w:tr>
        <w:trPr>
          <w:trHeight w:val="168"/>
        </w:trPr>
        <w:tc>
          <w:tcPr>
            <w:tcW w:w="440" w:type="dxa"/>
            <w:vAlign w:val="bottom"/>
          </w:tcPr>
          <w:p>
            <w:pPr>
              <w:spacing w:after="0"/>
              <w:rPr>
                <w:sz w:val="14"/>
                <w:szCs w:val="14"/>
                <w:color w:val="auto"/>
              </w:rPr>
            </w:pPr>
          </w:p>
        </w:tc>
        <w:tc>
          <w:tcPr>
            <w:tcW w:w="7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Second</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w:t>
            </w:r>
          </w:p>
        </w:tc>
      </w:tr>
      <w:tr>
        <w:trPr>
          <w:trHeight w:val="168"/>
        </w:trPr>
        <w:tc>
          <w:tcPr>
            <w:tcW w:w="440" w:type="dxa"/>
            <w:vAlign w:val="bottom"/>
          </w:tcPr>
          <w:p>
            <w:pPr>
              <w:spacing w:after="0"/>
              <w:rPr>
                <w:sz w:val="14"/>
                <w:szCs w:val="14"/>
                <w:color w:val="auto"/>
              </w:rPr>
            </w:pPr>
          </w:p>
        </w:tc>
        <w:tc>
          <w:tcPr>
            <w:tcW w:w="7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Third</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w:t>
            </w:r>
          </w:p>
        </w:tc>
        <w:tc>
          <w:tcPr>
            <w:tcW w:w="320" w:type="dxa"/>
            <w:vAlign w:val="bottom"/>
          </w:tcPr>
          <w:p>
            <w:pPr>
              <w:spacing w:after="0"/>
              <w:rPr>
                <w:sz w:val="14"/>
                <w:szCs w:val="14"/>
                <w:color w:val="auto"/>
              </w:rPr>
            </w:pPr>
          </w:p>
        </w:tc>
      </w:tr>
      <w:tr>
        <w:trPr>
          <w:trHeight w:val="168"/>
        </w:trPr>
        <w:tc>
          <w:tcPr>
            <w:tcW w:w="440" w:type="dxa"/>
            <w:vAlign w:val="bottom"/>
          </w:tcPr>
          <w:p>
            <w:pPr>
              <w:spacing w:after="0"/>
              <w:rPr>
                <w:sz w:val="14"/>
                <w:szCs w:val="14"/>
                <w:color w:val="auto"/>
              </w:rPr>
            </w:pPr>
          </w:p>
        </w:tc>
        <w:tc>
          <w:tcPr>
            <w:tcW w:w="7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Fourth</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w:t>
            </w:r>
          </w:p>
        </w:tc>
      </w:tr>
      <w:tr>
        <w:trPr>
          <w:trHeight w:val="336"/>
        </w:trPr>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4"/>
              </w:rPr>
              <w:t>1997</w:t>
            </w:r>
          </w:p>
        </w:tc>
        <w:tc>
          <w:tcPr>
            <w:tcW w:w="740" w:type="dxa"/>
            <w:vAlign w:val="bottom"/>
          </w:tcPr>
          <w:p>
            <w:pPr>
              <w:ind w:left="100"/>
              <w:spacing w:after="0"/>
              <w:rPr>
                <w:sz w:val="20"/>
                <w:szCs w:val="20"/>
                <w:color w:val="auto"/>
              </w:rPr>
            </w:pPr>
            <w:r>
              <w:rPr>
                <w:rFonts w:ascii="Courier New" w:cs="Courier New" w:eastAsia="Courier New" w:hAnsi="Courier New"/>
                <w:sz w:val="15"/>
                <w:szCs w:val="15"/>
                <w:color w:val="auto"/>
              </w:rPr>
              <w:t>First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c>
          <w:tcPr>
            <w:tcW w:w="4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5/8</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68"/>
        </w:trPr>
        <w:tc>
          <w:tcPr>
            <w:tcW w:w="440" w:type="dxa"/>
            <w:vAlign w:val="bottom"/>
          </w:tcPr>
          <w:p>
            <w:pPr>
              <w:spacing w:after="0"/>
              <w:rPr>
                <w:sz w:val="14"/>
                <w:szCs w:val="14"/>
                <w:color w:val="auto"/>
              </w:rPr>
            </w:pPr>
          </w:p>
        </w:tc>
        <w:tc>
          <w:tcPr>
            <w:tcW w:w="7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Second</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w:t>
            </w:r>
          </w:p>
        </w:tc>
        <w:tc>
          <w:tcPr>
            <w:tcW w:w="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w:t>
            </w:r>
          </w:p>
        </w:tc>
      </w:tr>
      <w:tr>
        <w:trPr>
          <w:trHeight w:val="168"/>
        </w:trPr>
        <w:tc>
          <w:tcPr>
            <w:tcW w:w="440" w:type="dxa"/>
            <w:vAlign w:val="bottom"/>
          </w:tcPr>
          <w:p>
            <w:pPr>
              <w:spacing w:after="0"/>
              <w:rPr>
                <w:sz w:val="14"/>
                <w:szCs w:val="14"/>
                <w:color w:val="auto"/>
              </w:rPr>
            </w:pPr>
          </w:p>
        </w:tc>
        <w:tc>
          <w:tcPr>
            <w:tcW w:w="7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Third</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w:t>
            </w:r>
          </w:p>
        </w:tc>
        <w:tc>
          <w:tcPr>
            <w:tcW w:w="480" w:type="dxa"/>
            <w:vAlign w:val="bottom"/>
          </w:tcPr>
          <w:p>
            <w:pPr>
              <w:spacing w:after="0"/>
              <w:rPr>
                <w:sz w:val="14"/>
                <w:szCs w:val="14"/>
                <w:color w:val="auto"/>
              </w:rPr>
            </w:pP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w:t>
            </w:r>
          </w:p>
        </w:tc>
      </w:tr>
      <w:tr>
        <w:trPr>
          <w:trHeight w:val="168"/>
        </w:trPr>
        <w:tc>
          <w:tcPr>
            <w:tcW w:w="440" w:type="dxa"/>
            <w:vAlign w:val="bottom"/>
          </w:tcPr>
          <w:p>
            <w:pPr>
              <w:spacing w:after="0"/>
              <w:rPr>
                <w:sz w:val="14"/>
                <w:szCs w:val="14"/>
                <w:color w:val="auto"/>
              </w:rPr>
            </w:pPr>
          </w:p>
        </w:tc>
        <w:tc>
          <w:tcPr>
            <w:tcW w:w="7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Fourth</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w:t>
            </w:r>
          </w:p>
        </w:tc>
        <w:tc>
          <w:tcPr>
            <w:tcW w:w="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w:t>
            </w:r>
          </w:p>
        </w:tc>
      </w:tr>
    </w:tbl>
    <w:p>
      <w:pPr>
        <w:spacing w:after="0" w:line="16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w:t>
      </w:r>
    </w:p>
    <w:p>
      <w:pPr>
        <w:spacing w:after="0" w:line="341" w:lineRule="exact"/>
        <w:rPr>
          <w:sz w:val="20"/>
          <w:szCs w:val="20"/>
          <w:color w:val="auto"/>
        </w:rPr>
      </w:pPr>
    </w:p>
    <w:p>
      <w:pPr>
        <w:jc w:val="both"/>
        <w:ind w:right="3679" w:firstLine="437"/>
        <w:spacing w:after="0" w:line="235" w:lineRule="auto"/>
        <w:rPr>
          <w:sz w:val="20"/>
          <w:szCs w:val="20"/>
          <w:color w:val="auto"/>
        </w:rPr>
      </w:pPr>
      <w:r>
        <w:rPr>
          <w:rFonts w:ascii="Courier New" w:cs="Courier New" w:eastAsia="Courier New" w:hAnsi="Courier New"/>
          <w:sz w:val="15"/>
          <w:szCs w:val="15"/>
          <w:color w:val="auto"/>
        </w:rPr>
        <w:t>The Company has never paid any cash dividends on its common stock, and management does not anticipate paying any cash dividends in the foreseeable future.</w:t>
      </w:r>
    </w:p>
    <w:p>
      <w:pPr>
        <w:spacing w:after="0" w:line="167"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SELECTED FINANCIAL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1680"/>
        <w:spacing w:after="0"/>
        <w:tabs>
          <w:tab w:leader="none" w:pos="2960" w:val="left"/>
          <w:tab w:leader="none" w:pos="4180" w:val="left"/>
          <w:tab w:leader="none" w:pos="5420" w:val="left"/>
          <w:tab w:leader="none" w:pos="6280" w:val="left"/>
        </w:tabs>
        <w:rPr>
          <w:sz w:val="20"/>
          <w:szCs w:val="20"/>
          <w:color w:val="auto"/>
        </w:rPr>
      </w:pP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1996</w:t>
      </w:r>
      <w:r>
        <w:rPr>
          <w:sz w:val="20"/>
          <w:szCs w:val="20"/>
          <w:color w:val="auto"/>
        </w:rPr>
        <w:tab/>
      </w:r>
      <w:r>
        <w:rPr>
          <w:rFonts w:ascii="Courier New" w:cs="Courier New" w:eastAsia="Courier New" w:hAnsi="Courier New"/>
          <w:sz w:val="15"/>
          <w:szCs w:val="15"/>
          <w:color w:val="auto"/>
        </w:rPr>
        <w:t>1995</w:t>
      </w:r>
      <w:r>
        <w:rPr>
          <w:sz w:val="20"/>
          <w:szCs w:val="20"/>
          <w:color w:val="auto"/>
        </w:rPr>
        <w:tab/>
      </w:r>
      <w:r>
        <w:rPr>
          <w:rFonts w:ascii="Courier New" w:cs="Courier New" w:eastAsia="Courier New" w:hAnsi="Courier New"/>
          <w:sz w:val="15"/>
          <w:szCs w:val="15"/>
          <w:color w:val="auto"/>
        </w:rPr>
        <w:t>1994</w:t>
      </w:r>
      <w:r>
        <w:rPr>
          <w:sz w:val="20"/>
          <w:szCs w:val="20"/>
          <w:color w:val="auto"/>
        </w:rPr>
        <w:tab/>
      </w:r>
      <w:r>
        <w:rPr>
          <w:rFonts w:ascii="Courier New" w:cs="Courier New" w:eastAsia="Courier New" w:hAnsi="Courier New"/>
          <w:sz w:val="15"/>
          <w:szCs w:val="15"/>
          <w:color w:val="auto"/>
        </w:rPr>
        <w:t>1993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320" w:type="dxa"/>
            <w:vAlign w:val="bottom"/>
          </w:tcPr>
          <w:p>
            <w:pPr>
              <w:spacing w:after="0"/>
              <w:rPr>
                <w:sz w:val="20"/>
                <w:szCs w:val="20"/>
                <w:color w:val="auto"/>
              </w:rPr>
            </w:pPr>
            <w:r>
              <w:rPr>
                <w:rFonts w:ascii="Courier New" w:cs="Courier New" w:eastAsia="Courier New" w:hAnsi="Courier New"/>
                <w:sz w:val="15"/>
                <w:szCs w:val="15"/>
                <w:color w:val="auto"/>
              </w:rPr>
              <w:t>Net</w:t>
            </w:r>
          </w:p>
        </w:tc>
        <w:tc>
          <w:tcPr>
            <w:tcW w:w="860" w:type="dxa"/>
            <w:vAlign w:val="bottom"/>
          </w:tcPr>
          <w:p>
            <w:pPr>
              <w:ind w:left="40"/>
              <w:spacing w:after="0"/>
              <w:rPr>
                <w:sz w:val="20"/>
                <w:szCs w:val="20"/>
                <w:color w:val="auto"/>
              </w:rPr>
            </w:pPr>
            <w:r>
              <w:rPr>
                <w:rFonts w:ascii="Courier New" w:cs="Courier New" w:eastAsia="Courier New" w:hAnsi="Courier New"/>
                <w:sz w:val="15"/>
                <w:szCs w:val="15"/>
                <w:color w:val="auto"/>
              </w:rPr>
              <w:t>Sales</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$186,328</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$148,708</w:t>
            </w:r>
          </w:p>
        </w:tc>
        <w:tc>
          <w:tcPr>
            <w:tcW w:w="12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$111,566</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$89,762</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$63,664</w:t>
            </w:r>
          </w:p>
        </w:tc>
      </w:tr>
      <w:tr>
        <w:trPr>
          <w:trHeight w:val="336"/>
        </w:trPr>
        <w:tc>
          <w:tcPr>
            <w:tcW w:w="320" w:type="dxa"/>
            <w:vAlign w:val="bottom"/>
          </w:tcPr>
          <w:p>
            <w:pPr>
              <w:spacing w:after="0"/>
              <w:rPr>
                <w:sz w:val="20"/>
                <w:szCs w:val="20"/>
                <w:color w:val="auto"/>
              </w:rPr>
            </w:pPr>
            <w:r>
              <w:rPr>
                <w:rFonts w:ascii="Courier New" w:cs="Courier New" w:eastAsia="Courier New" w:hAnsi="Courier New"/>
                <w:sz w:val="15"/>
                <w:szCs w:val="15"/>
                <w:color w:val="auto"/>
              </w:rPr>
              <w:t>Net</w:t>
            </w:r>
          </w:p>
        </w:tc>
        <w:tc>
          <w:tcPr>
            <w:tcW w:w="860" w:type="dxa"/>
            <w:vAlign w:val="bottom"/>
          </w:tcPr>
          <w:p>
            <w:pPr>
              <w:ind w:left="40"/>
              <w:spacing w:after="0"/>
              <w:rPr>
                <w:sz w:val="20"/>
                <w:szCs w:val="20"/>
                <w:color w:val="auto"/>
              </w:rPr>
            </w:pPr>
            <w:r>
              <w:rPr>
                <w:rFonts w:ascii="Courier New" w:cs="Courier New" w:eastAsia="Courier New" w:hAnsi="Courier New"/>
                <w:sz w:val="15"/>
                <w:szCs w:val="15"/>
                <w:color w:val="auto"/>
              </w:rPr>
              <w:t>Income</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35,230</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23,963</w:t>
            </w:r>
          </w:p>
        </w:tc>
        <w:tc>
          <w:tcPr>
            <w:tcW w:w="12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18,895</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16,466</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9,845</w:t>
            </w:r>
          </w:p>
        </w:tc>
      </w:tr>
    </w:tbl>
    <w:p>
      <w:pPr>
        <w:spacing w:after="0" w:line="5" w:lineRule="exact"/>
        <w:rPr>
          <w:sz w:val="20"/>
          <w:szCs w:val="20"/>
          <w:color w:val="auto"/>
        </w:rPr>
      </w:pPr>
    </w:p>
    <w:p>
      <w:pPr>
        <w:ind w:left="180" w:hanging="170"/>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18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Earnings</w:t>
      </w:r>
    </w:p>
    <w:tbl>
      <w:tblPr>
        <w:tblLayout w:type="fixed"/>
        <w:tblInd w:w="280" w:type="dxa"/>
        <w:tblCellMar>
          <w:top w:w="0" w:type="dxa"/>
          <w:left w:w="0" w:type="dxa"/>
          <w:bottom w:w="0" w:type="dxa"/>
          <w:right w:w="0" w:type="dxa"/>
        </w:tblCellMar>
      </w:tblPr>
      <w:tr>
        <w:trPr>
          <w:trHeight w:val="169"/>
        </w:trPr>
        <w:tc>
          <w:tcPr>
            <w:tcW w:w="1300" w:type="dxa"/>
            <w:vAlign w:val="bottom"/>
          </w:tcPr>
          <w:p>
            <w:pPr>
              <w:spacing w:after="0" w:line="169" w:lineRule="exact"/>
              <w:rPr>
                <w:sz w:val="20"/>
                <w:szCs w:val="20"/>
                <w:color w:val="auto"/>
              </w:rPr>
            </w:pPr>
            <w:r>
              <w:rPr>
                <w:rFonts w:ascii="Courier New" w:cs="Courier New" w:eastAsia="Courier New" w:hAnsi="Courier New"/>
                <w:sz w:val="15"/>
                <w:szCs w:val="15"/>
                <w:color w:val="auto"/>
              </w:rPr>
              <w:t>Per Share*</w:t>
            </w:r>
          </w:p>
        </w:tc>
        <w:tc>
          <w:tcPr>
            <w:tcW w:w="1220" w:type="dxa"/>
            <w:vAlign w:val="bottom"/>
          </w:tcPr>
          <w:p>
            <w:pPr>
              <w:jc w:val="right"/>
              <w:ind w:right="347"/>
              <w:spacing w:after="0" w:line="169" w:lineRule="exact"/>
              <w:rPr>
                <w:sz w:val="20"/>
                <w:szCs w:val="20"/>
                <w:color w:val="auto"/>
              </w:rPr>
            </w:pPr>
            <w:r>
              <w:rPr>
                <w:rFonts w:ascii="Courier New" w:cs="Courier New" w:eastAsia="Courier New" w:hAnsi="Courier New"/>
                <w:sz w:val="15"/>
                <w:szCs w:val="15"/>
                <w:color w:val="auto"/>
              </w:rPr>
              <w:t>0.98</w:t>
            </w:r>
          </w:p>
        </w:tc>
        <w:tc>
          <w:tcPr>
            <w:tcW w:w="1240" w:type="dxa"/>
            <w:vAlign w:val="bottom"/>
          </w:tcPr>
          <w:p>
            <w:pPr>
              <w:jc w:val="right"/>
              <w:ind w:right="367"/>
              <w:spacing w:after="0" w:line="169" w:lineRule="exact"/>
              <w:rPr>
                <w:sz w:val="20"/>
                <w:szCs w:val="20"/>
                <w:color w:val="auto"/>
              </w:rPr>
            </w:pPr>
            <w:r>
              <w:rPr>
                <w:rFonts w:ascii="Courier New" w:cs="Courier New" w:eastAsia="Courier New" w:hAnsi="Courier New"/>
                <w:sz w:val="15"/>
                <w:szCs w:val="15"/>
                <w:color w:val="auto"/>
              </w:rPr>
              <w:t>0.67</w:t>
            </w:r>
          </w:p>
        </w:tc>
        <w:tc>
          <w:tcPr>
            <w:tcW w:w="1220" w:type="dxa"/>
            <w:vAlign w:val="bottom"/>
          </w:tcPr>
          <w:p>
            <w:pPr>
              <w:jc w:val="right"/>
              <w:ind w:right="367"/>
              <w:spacing w:after="0" w:line="169" w:lineRule="exact"/>
              <w:rPr>
                <w:sz w:val="20"/>
                <w:szCs w:val="20"/>
                <w:color w:val="auto"/>
              </w:rPr>
            </w:pPr>
            <w:r>
              <w:rPr>
                <w:rFonts w:ascii="Courier New" w:cs="Courier New" w:eastAsia="Courier New" w:hAnsi="Courier New"/>
                <w:sz w:val="15"/>
                <w:szCs w:val="15"/>
                <w:color w:val="auto"/>
              </w:rPr>
              <w:t>0.55</w:t>
            </w:r>
          </w:p>
        </w:tc>
        <w:tc>
          <w:tcPr>
            <w:tcW w:w="1000" w:type="dxa"/>
            <w:vAlign w:val="bottom"/>
          </w:tcPr>
          <w:p>
            <w:pPr>
              <w:jc w:val="right"/>
              <w:ind w:right="147"/>
              <w:spacing w:after="0" w:line="169" w:lineRule="exact"/>
              <w:rPr>
                <w:sz w:val="20"/>
                <w:szCs w:val="20"/>
                <w:color w:val="auto"/>
              </w:rPr>
            </w:pPr>
            <w:r>
              <w:rPr>
                <w:rFonts w:ascii="Courier New" w:cs="Courier New" w:eastAsia="Courier New" w:hAnsi="Courier New"/>
                <w:sz w:val="15"/>
                <w:szCs w:val="15"/>
                <w:color w:val="auto"/>
              </w:rPr>
              <w:t>0.48</w:t>
            </w:r>
          </w:p>
        </w:tc>
        <w:tc>
          <w:tcPr>
            <w:tcW w:w="58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0.29</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128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$189,783</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$140,378</w:t>
            </w:r>
          </w:p>
        </w:tc>
        <w:tc>
          <w:tcPr>
            <w:tcW w:w="12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$109,244</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$80,739</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$55,191</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Long-Term Debt</w:t>
      </w:r>
    </w:p>
    <w:p>
      <w:pPr>
        <w:ind w:left="280"/>
        <w:spacing w:after="0" w:line="237" w:lineRule="auto"/>
        <w:rPr>
          <w:sz w:val="20"/>
          <w:szCs w:val="20"/>
          <w:color w:val="auto"/>
        </w:rPr>
      </w:pPr>
      <w:r>
        <w:rPr>
          <w:rFonts w:ascii="Courier New" w:cs="Courier New" w:eastAsia="Courier New" w:hAnsi="Courier New"/>
          <w:sz w:val="15"/>
          <w:szCs w:val="15"/>
          <w:color w:val="auto"/>
        </w:rPr>
        <w:t>Outstanding at</w:t>
      </w:r>
    </w:p>
    <w:p>
      <w:pPr>
        <w:ind w:left="280"/>
        <w:spacing w:after="0" w:line="238" w:lineRule="auto"/>
        <w:tabs>
          <w:tab w:leader="none" w:pos="1660" w:val="left"/>
          <w:tab w:leader="none" w:pos="2260" w:val="left"/>
          <w:tab w:leader="none" w:pos="2880" w:val="left"/>
          <w:tab w:leader="none" w:pos="3480" w:val="left"/>
          <w:tab w:leader="none" w:pos="4100" w:val="left"/>
          <w:tab w:leader="none" w:pos="4720" w:val="left"/>
          <w:tab w:leader="none" w:pos="5420" w:val="left"/>
          <w:tab w:leader="none" w:pos="5940" w:val="left"/>
          <w:tab w:leader="none" w:pos="6200" w:val="left"/>
          <w:tab w:leader="none" w:pos="6720" w:val="left"/>
        </w:tabs>
        <w:rPr>
          <w:sz w:val="20"/>
          <w:szCs w:val="20"/>
          <w:color w:val="auto"/>
        </w:rPr>
      </w:pPr>
      <w:r>
        <w:rPr>
          <w:rFonts w:ascii="Courier New" w:cs="Courier New" w:eastAsia="Courier New" w:hAnsi="Courier New"/>
          <w:sz w:val="15"/>
          <w:szCs w:val="15"/>
          <w:color w:val="auto"/>
        </w:rPr>
        <w:t>Year End</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tab/>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180" w:hanging="170"/>
        <w:spacing w:after="0"/>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9"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*Diluted; adjusted for 2-for-1 stock splits in June 1996 and 1993.</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281" w:right="1440" w:bottom="1440" w:gutter="0" w:footer="0" w:header="0"/>
        </w:sectPr>
      </w:pPr>
    </w:p>
    <w:bookmarkStart w:id="13" w:name="page14"/>
    <w:bookmarkEnd w:id="13"/>
    <w:p>
      <w:pPr>
        <w:ind w:left="280"/>
        <w:spacing w:after="0"/>
        <w:rPr>
          <w:sz w:val="20"/>
          <w:szCs w:val="20"/>
          <w:color w:val="auto"/>
        </w:rPr>
      </w:pPr>
      <w:r>
        <w:rPr>
          <w:rFonts w:ascii="Courier New" w:cs="Courier New" w:eastAsia="Courier New" w:hAnsi="Courier New"/>
          <w:sz w:val="15"/>
          <w:szCs w:val="15"/>
          <w:color w:val="auto"/>
        </w:rPr>
        <w:t>13</w:t>
      </w:r>
    </w:p>
    <w:p>
      <w:pPr>
        <w:spacing w:after="0" w:line="200" w:lineRule="exact"/>
        <w:rPr>
          <w:sz w:val="20"/>
          <w:szCs w:val="20"/>
          <w:color w:val="auto"/>
        </w:rPr>
      </w:pPr>
    </w:p>
    <w:p>
      <w:pPr>
        <w:spacing w:after="0" w:line="309" w:lineRule="exact"/>
        <w:rPr>
          <w:sz w:val="20"/>
          <w:szCs w:val="20"/>
          <w:color w:val="auto"/>
        </w:rPr>
      </w:pPr>
    </w:p>
    <w:p>
      <w:pPr>
        <w:ind w:left="980" w:right="3579" w:hanging="961"/>
        <w:spacing w:after="0" w:line="234" w:lineRule="auto"/>
        <w:tabs>
          <w:tab w:leader="none" w:pos="960" w:val="left"/>
        </w:tabs>
        <w:rPr>
          <w:sz w:val="20"/>
          <w:szCs w:val="20"/>
          <w:color w:val="auto"/>
        </w:rPr>
      </w:pPr>
      <w:r>
        <w:rPr>
          <w:rFonts w:ascii="Courier New" w:cs="Courier New" w:eastAsia="Courier New" w:hAnsi="Courier New"/>
          <w:sz w:val="15"/>
          <w:szCs w:val="15"/>
          <w:color w:val="auto"/>
        </w:rPr>
        <w:t>ITEM 7.</w:t>
      </w:r>
      <w:r>
        <w:rPr>
          <w:sz w:val="20"/>
          <w:szCs w:val="20"/>
          <w:color w:val="auto"/>
        </w:rPr>
        <w:tab/>
      </w:r>
      <w:r>
        <w:rPr>
          <w:rFonts w:ascii="Courier New" w:cs="Courier New" w:eastAsia="Courier New" w:hAnsi="Courier New"/>
          <w:sz w:val="15"/>
          <w:szCs w:val="15"/>
          <w:color w:val="auto"/>
        </w:rPr>
        <w:t>MANAGEMENT'S DISCUSSION AND ANALYSIS OF RESULTS OF OPERATIONS AND FINANCIAL CONDITION.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The following table sets forth for the periods indicated certain items from the Company's Consolidated Statements of Income expressed as a percentage of net sales and the percentage change of each such item from that in the indicated previous year.</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580" w:type="dxa"/>
            <w:vAlign w:val="bottom"/>
            <w:gridSpan w:val="3"/>
          </w:tcPr>
          <w:p>
            <w:pPr>
              <w:jc w:val="right"/>
              <w:ind w:right="327"/>
              <w:spacing w:after="0"/>
              <w:rPr>
                <w:sz w:val="20"/>
                <w:szCs w:val="20"/>
                <w:color w:val="auto"/>
              </w:rPr>
            </w:pPr>
            <w:r>
              <w:rPr>
                <w:rFonts w:ascii="Courier New" w:cs="Courier New" w:eastAsia="Courier New" w:hAnsi="Courier New"/>
                <w:sz w:val="15"/>
                <w:szCs w:val="15"/>
                <w:color w:val="auto"/>
              </w:rPr>
              <w:t>Percentage of Net Sales</w:t>
            </w:r>
          </w:p>
        </w:tc>
        <w:tc>
          <w:tcPr>
            <w:tcW w:w="17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Percentage Change</w:t>
            </w:r>
          </w:p>
        </w:tc>
      </w:tr>
      <w:tr>
        <w:trPr>
          <w:trHeight w:val="168"/>
        </w:trPr>
        <w:tc>
          <w:tcPr>
            <w:tcW w:w="2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580" w:type="dxa"/>
            <w:vAlign w:val="bottom"/>
            <w:gridSpan w:val="3"/>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w:t>
            </w:r>
          </w:p>
        </w:tc>
        <w:tc>
          <w:tcPr>
            <w:tcW w:w="1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2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1997</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2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580" w:type="dxa"/>
            <w:vAlign w:val="bottom"/>
            <w:gridSpan w:val="3"/>
          </w:tcPr>
          <w:p>
            <w:pPr>
              <w:jc w:val="right"/>
              <w:ind w:right="327"/>
              <w:spacing w:after="0" w:line="168" w:lineRule="exact"/>
              <w:rPr>
                <w:sz w:val="20"/>
                <w:szCs w:val="20"/>
                <w:color w:val="auto"/>
              </w:rPr>
            </w:pPr>
            <w:r>
              <w:rPr>
                <w:rFonts w:ascii="Courier New" w:cs="Courier New" w:eastAsia="Courier New" w:hAnsi="Courier New"/>
                <w:sz w:val="15"/>
                <w:szCs w:val="15"/>
                <w:color w:val="auto"/>
              </w:rPr>
              <w:t>Year Ended December 31</w:t>
            </w:r>
          </w:p>
        </w:tc>
        <w:tc>
          <w:tcPr>
            <w:tcW w:w="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to</w:t>
            </w: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to</w:t>
            </w:r>
          </w:p>
        </w:tc>
      </w:tr>
      <w:tr>
        <w:trPr>
          <w:trHeight w:val="168"/>
        </w:trPr>
        <w:tc>
          <w:tcPr>
            <w:tcW w:w="2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1997</w:t>
            </w:r>
          </w:p>
        </w:tc>
        <w:tc>
          <w:tcPr>
            <w:tcW w:w="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1996</w:t>
            </w: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1995</w:t>
            </w: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1996</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1995</w:t>
            </w:r>
          </w:p>
        </w:tc>
      </w:tr>
      <w:tr>
        <w:trPr>
          <w:trHeight w:val="168"/>
        </w:trPr>
        <w:tc>
          <w:tcPr>
            <w:tcW w:w="2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28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0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25.3%</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33.3%</w:t>
            </w: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of Goods Sold</w:t>
            </w:r>
          </w:p>
        </w:tc>
        <w:tc>
          <w:tcPr>
            <w:tcW w:w="10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63.8</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62.9</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60.7</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27.1</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38.1</w:t>
            </w:r>
          </w:p>
        </w:tc>
      </w:tr>
      <w:tr>
        <w:trPr>
          <w:trHeight w:val="168"/>
        </w:trPr>
        <w:tc>
          <w:tcPr>
            <w:tcW w:w="2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Gross Profit</w:t>
            </w:r>
          </w:p>
        </w:tc>
        <w:tc>
          <w:tcPr>
            <w:tcW w:w="10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36.2</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37.1</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39.3</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22.2</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25.9</w:t>
            </w: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Expenses:</w:t>
            </w:r>
          </w:p>
        </w:tc>
        <w:tc>
          <w:tcPr>
            <w:tcW w:w="1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22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Research and Development</w:t>
            </w:r>
          </w:p>
        </w:tc>
        <w:tc>
          <w:tcPr>
            <w:tcW w:w="10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4.9</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5.1</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5.3</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20.5</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26.5</w:t>
            </w:r>
          </w:p>
        </w:tc>
      </w:tr>
      <w:tr>
        <w:trPr>
          <w:trHeight w:val="168"/>
        </w:trPr>
        <w:tc>
          <w:tcPr>
            <w:tcW w:w="33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Selling, General and Administrative</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5.8</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7.9</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11.6</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(7.9)</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(8.8)</w:t>
            </w:r>
          </w:p>
        </w:tc>
      </w:tr>
      <w:tr>
        <w:trPr>
          <w:trHeight w:val="168"/>
        </w:trPr>
        <w:tc>
          <w:tcPr>
            <w:tcW w:w="22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Patent Settlement</w:t>
            </w:r>
          </w:p>
        </w:tc>
        <w:tc>
          <w:tcPr>
            <w:tcW w:w="10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2.7</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(100.0)</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N/A</w:t>
            </w:r>
          </w:p>
        </w:tc>
      </w:tr>
      <w:tr>
        <w:trPr>
          <w:trHeight w:val="168"/>
        </w:trPr>
        <w:tc>
          <w:tcPr>
            <w:tcW w:w="2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Total Operating Expenses</w:t>
            </w:r>
          </w:p>
        </w:tc>
        <w:tc>
          <w:tcPr>
            <w:tcW w:w="10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10.7</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15.7</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16.9</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(14.5)</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23.6</w:t>
            </w:r>
          </w:p>
        </w:tc>
      </w:tr>
      <w:tr>
        <w:trPr>
          <w:trHeight w:val="168"/>
        </w:trPr>
        <w:tc>
          <w:tcPr>
            <w:tcW w:w="2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Operating Income</w:t>
            </w:r>
          </w:p>
        </w:tc>
        <w:tc>
          <w:tcPr>
            <w:tcW w:w="10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25.5</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21.4</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22.4</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49.1</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27.6</w:t>
            </w: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w:t>
            </w:r>
          </w:p>
        </w:tc>
        <w:tc>
          <w:tcPr>
            <w:tcW w:w="10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2.5</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29.2</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22.7</w:t>
            </w:r>
          </w:p>
        </w:tc>
      </w:tr>
      <w:tr>
        <w:trPr>
          <w:trHeight w:val="168"/>
        </w:trPr>
        <w:tc>
          <w:tcPr>
            <w:tcW w:w="2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Income Before Federal Income Taxes</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28.0</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23.9</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25.0</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47.1</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27.0</w:t>
            </w:r>
          </w:p>
        </w:tc>
      </w:tr>
      <w:tr>
        <w:trPr>
          <w:trHeight w:val="168"/>
        </w:trPr>
        <w:tc>
          <w:tcPr>
            <w:tcW w:w="3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Provision for Federal Income Taxes</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9.1</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7.8</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8.1</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47.2</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27.5</w:t>
            </w:r>
          </w:p>
        </w:tc>
      </w:tr>
      <w:tr>
        <w:trPr>
          <w:trHeight w:val="168"/>
        </w:trPr>
        <w:tc>
          <w:tcPr>
            <w:tcW w:w="2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Net Income</w:t>
            </w:r>
          </w:p>
        </w:tc>
        <w:tc>
          <w:tcPr>
            <w:tcW w:w="106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18.9%</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16.1%</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16.9%</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47.0%</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26.8%</w:t>
            </w:r>
          </w:p>
        </w:tc>
      </w:tr>
      <w:tr>
        <w:trPr>
          <w:trHeight w:val="168"/>
        </w:trPr>
        <w:tc>
          <w:tcPr>
            <w:tcW w:w="2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2280" w:type="dxa"/>
            <w:vAlign w:val="bottom"/>
          </w:tcPr>
          <w:p>
            <w:pPr>
              <w:spacing w:after="0"/>
              <w:rPr>
                <w:sz w:val="20"/>
                <w:szCs w:val="20"/>
                <w:color w:val="auto"/>
              </w:rPr>
            </w:pPr>
            <w:r>
              <w:rPr>
                <w:rFonts w:ascii="Courier New" w:cs="Courier New" w:eastAsia="Courier New" w:hAnsi="Courier New"/>
                <w:sz w:val="15"/>
                <w:szCs w:val="15"/>
                <w:color w:val="auto"/>
              </w:rPr>
              <w:t>RESULTS OF OPERATIONS:</w:t>
            </w:r>
          </w:p>
        </w:tc>
        <w:tc>
          <w:tcPr>
            <w:tcW w:w="1060" w:type="dxa"/>
            <w:vAlign w:val="bottom"/>
          </w:tcPr>
          <w:p>
            <w:pPr>
              <w:spacing w:after="0"/>
              <w:rPr>
                <w:sz w:val="20"/>
                <w:szCs w:val="20"/>
                <w:color w:val="auto"/>
              </w:rPr>
            </w:pPr>
            <w:r>
              <w:rPr>
                <w:rFonts w:ascii="Courier New" w:cs="Courier New" w:eastAsia="Courier New" w:hAnsi="Courier New"/>
                <w:sz w:val="15"/>
                <w:szCs w:val="15"/>
                <w:color w:val="auto"/>
                <w:w w:val="96"/>
              </w:rPr>
              <w:t>1997 TO 1996</w:t>
            </w: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Net Sales. Automotive net sales increased by 28% and mirror shipments increased by 26%, from 3,079,000 to 3,878,000 units, primarily reflecting new thin glass flat, convex and aspheric exterior mirrors, as well as increased penetration on domestic and foreign 1997 and 1998 model year vehicles for interior and exterior electrochromic Night Vision Safety(TM) (NVS(R)) Mirrors. North American unit shipments increased by 17%, while overseas unit shipments increased by 50% during 1997. Net sales of the Company's fire protection products increased 6%, primarily due to increased sales of its AC/DC smoke detectors and certain strobe related products.</w:t>
      </w:r>
    </w:p>
    <w:p>
      <w:pPr>
        <w:spacing w:after="0" w:line="10"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Cost of Goods Sold. As a percentage of net sales, cost of goods sold increased from 63% to 64%, primarily reflecting automotive customer price reductions, lower glass yields in connection with the production ramp-up of the new exterior mirror products, and temporary capacity under-utilization at the new mirror manufacturing facility, partially offset by product cost reductions and increased sales volume spread over fixed overhead expenses.</w:t>
      </w:r>
    </w:p>
    <w:p>
      <w:pPr>
        <w:spacing w:after="0" w:line="7"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Operating Expenses. Research and development expenses increased approximately $1,542,000, but remained at 5% of net sales, primarily due to additional staffing for new product development. Selling, general and administrative expenses decreased approximately $923,000, and decreased from 8% to 6% of net sales, primarily reflecting a reduction in patent litigation expense of $1,440,000, as a result of the patent litigation settlement at the end of the first quarter 1996.</w:t>
      </w:r>
    </w:p>
    <w:p>
      <w:pPr>
        <w:spacing w:after="0" w:line="8" w:lineRule="exact"/>
        <w:rPr>
          <w:sz w:val="20"/>
          <w:szCs w:val="20"/>
          <w:color w:val="auto"/>
        </w:rPr>
      </w:pPr>
    </w:p>
    <w:p>
      <w:pPr>
        <w:ind w:right="3579" w:firstLine="437"/>
        <w:spacing w:after="0" w:line="235" w:lineRule="auto"/>
        <w:rPr>
          <w:sz w:val="20"/>
          <w:szCs w:val="20"/>
          <w:color w:val="auto"/>
        </w:rPr>
      </w:pPr>
      <w:r>
        <w:rPr>
          <w:rFonts w:ascii="Courier New" w:cs="Courier New" w:eastAsia="Courier New" w:hAnsi="Courier New"/>
          <w:sz w:val="15"/>
          <w:szCs w:val="15"/>
          <w:color w:val="auto"/>
        </w:rPr>
        <w:t>Other Income - Net. Investment income increased $968,000 in 1997, primarily due to higher investable fund balances and higher average interest rates.</w:t>
      </w:r>
    </w:p>
    <w:p>
      <w:pPr>
        <w:spacing w:after="0" w:line="5"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Taxes. The provision for federal income taxes varied from the statutory rates in 1997, primarily due to Foreign Sales Corporation exempted taxable income from increased foreign sales, as well as tax-exempt interest income.</w:t>
      </w:r>
    </w:p>
    <w:p>
      <w:pPr>
        <w:spacing w:after="0" w:line="5" w:lineRule="exact"/>
        <w:rPr>
          <w:sz w:val="20"/>
          <w:szCs w:val="20"/>
          <w:color w:val="auto"/>
        </w:rPr>
      </w:pPr>
    </w:p>
    <w:p>
      <w:pPr>
        <w:ind w:right="3579" w:firstLine="437"/>
        <w:spacing w:after="0" w:line="261" w:lineRule="auto"/>
        <w:rPr>
          <w:sz w:val="20"/>
          <w:szCs w:val="20"/>
          <w:color w:val="auto"/>
        </w:rPr>
      </w:pPr>
      <w:r>
        <w:rPr>
          <w:rFonts w:ascii="Courier New" w:cs="Courier New" w:eastAsia="Courier New" w:hAnsi="Courier New"/>
          <w:sz w:val="14"/>
          <w:szCs w:val="14"/>
          <w:color w:val="auto"/>
        </w:rPr>
        <w:t>Net Income. Net income increased by 47%, primarily reflecting the increased sales level in 1997, and the patent litigation settlement in 1996.</w:t>
      </w:r>
    </w:p>
    <w:p>
      <w:pPr>
        <w:spacing w:after="0" w:line="15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281" w:right="1440" w:bottom="1440" w:gutter="0" w:footer="0" w:header="0"/>
        </w:sectPr>
      </w:pPr>
    </w:p>
    <w:bookmarkStart w:id="14" w:name="page15"/>
    <w:bookmarkEnd w:id="14"/>
    <w:p>
      <w:pPr>
        <w:ind w:left="280"/>
        <w:spacing w:after="0"/>
        <w:rPr>
          <w:sz w:val="20"/>
          <w:szCs w:val="20"/>
          <w:color w:val="auto"/>
        </w:rPr>
      </w:pPr>
      <w:r>
        <w:rPr>
          <w:rFonts w:ascii="Courier New" w:cs="Courier New" w:eastAsia="Courier New" w:hAnsi="Courier New"/>
          <w:sz w:val="15"/>
          <w:szCs w:val="15"/>
          <w:color w:val="auto"/>
        </w:rPr>
        <w:t>14</w:t>
      </w:r>
    </w:p>
    <w:p>
      <w:pPr>
        <w:spacing w:after="0" w:line="200" w:lineRule="exact"/>
        <w:rPr>
          <w:sz w:val="20"/>
          <w:szCs w:val="20"/>
          <w:color w:val="auto"/>
        </w:rPr>
      </w:pPr>
    </w:p>
    <w:p>
      <w:pPr>
        <w:spacing w:after="0" w:line="303" w:lineRule="exact"/>
        <w:rPr>
          <w:sz w:val="20"/>
          <w:szCs w:val="20"/>
          <w:color w:val="auto"/>
        </w:rPr>
      </w:pPr>
    </w:p>
    <w:p>
      <w:pPr>
        <w:spacing w:after="0"/>
        <w:tabs>
          <w:tab w:leader="none" w:pos="2080" w:val="left"/>
        </w:tabs>
        <w:rPr>
          <w:sz w:val="20"/>
          <w:szCs w:val="20"/>
          <w:color w:val="auto"/>
        </w:rPr>
      </w:pPr>
      <w:r>
        <w:rPr>
          <w:rFonts w:ascii="Courier New" w:cs="Courier New" w:eastAsia="Courier New" w:hAnsi="Courier New"/>
          <w:sz w:val="15"/>
          <w:szCs w:val="15"/>
          <w:color w:val="auto"/>
        </w:rPr>
        <w:t>RESULTS OF OPERATIONS:</w:t>
      </w:r>
      <w:r>
        <w:rPr>
          <w:sz w:val="20"/>
          <w:szCs w:val="20"/>
          <w:color w:val="auto"/>
        </w:rPr>
        <w:tab/>
      </w:r>
      <w:r>
        <w:rPr>
          <w:rFonts w:ascii="Courier New" w:cs="Courier New" w:eastAsia="Courier New" w:hAnsi="Courier New"/>
          <w:sz w:val="14"/>
          <w:szCs w:val="14"/>
          <w:color w:val="auto"/>
        </w:rPr>
        <w:t>1996 TO 1995</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Net Sales. Automotive net sales increased by 37% and mirror shipments increased by 38%, from 2,228,000 to 3,079,000 units, primarily reflecting increased penetration on domestic and foreign 1996 and 1997 model year vehicles for interior and exterior electrochromic NVS(R) Mirrors. Net sales of the Company's fire protection products increased 11% primarily due to increased sales of its AC/DC smoke detectors and strobe related products.</w:t>
      </w:r>
    </w:p>
    <w:p>
      <w:pPr>
        <w:spacing w:after="0" w:line="7"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Cost of Goods Sold. As a percentage of net sales, cost of goods sold increased from 61% to 63%, primarily reflecting automotive customer price reductions; a shift in the Company's automotive mirror shipment product mix to NVS(R) Compass Mirrors, which has a lower margin percentage due to the higher amount of purchased components; and start-up costs associated with a new mirror manufacturing facility and installation of new manufacturing lines for a second-generation interior compass mirror product and exterior aspheric mirror products, partially offset by the higher sales level covering fixed overhead costs and increased manufacturing efficiencies.</w:t>
      </w:r>
    </w:p>
    <w:p>
      <w:pPr>
        <w:spacing w:after="0" w:line="10"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Operating Expenses. Research and development expenses increased approximately $1,580,000, but remained at 5% of net sales, primarily due to additional staffing for new product development. Selling, general and administrative expenses decreased approximately $1,131,000, and decreased from 12% to 8% of net sales, primarily reflecting lower patent litigation expense of $1,560,000, compared to $4,110,000, as a result of the patent litigation settlement at the end of the first quarter, partially offset by higher selling expenses associated with the sales growth. The Company recorded a one-time charge of $4,000,000 ($6,000,000 payment, net of accrued reserves) in connection with the patent litigation settlement (see footnote (8) to the Consolidated Financial Statements, filed as a part of this report).</w:t>
      </w:r>
    </w:p>
    <w:p>
      <w:pPr>
        <w:spacing w:after="0" w:line="4"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Other Income. Investment income increased $573,000 in 1996, primarily due to higher investable fund balances and higher average interest rate.</w:t>
      </w:r>
    </w:p>
    <w:p>
      <w:pPr>
        <w:spacing w:after="0" w:line="5"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Taxes. The provision for federal income taxes varied from the statutory rates in 1996, primarily due to Foreign Sales Corporation exempted taxable income from increased foreign sales, as well as tax-exempt interest income.</w:t>
      </w:r>
    </w:p>
    <w:p>
      <w:pPr>
        <w:spacing w:after="0" w:line="5" w:lineRule="exact"/>
        <w:rPr>
          <w:sz w:val="20"/>
          <w:szCs w:val="20"/>
          <w:color w:val="auto"/>
        </w:rPr>
      </w:pPr>
    </w:p>
    <w:p>
      <w:pPr>
        <w:ind w:right="3839" w:firstLine="437"/>
        <w:spacing w:after="0" w:line="234" w:lineRule="auto"/>
        <w:rPr>
          <w:sz w:val="20"/>
          <w:szCs w:val="20"/>
          <w:color w:val="auto"/>
        </w:rPr>
      </w:pPr>
      <w:r>
        <w:rPr>
          <w:rFonts w:ascii="Courier New" w:cs="Courier New" w:eastAsia="Courier New" w:hAnsi="Courier New"/>
          <w:sz w:val="15"/>
          <w:szCs w:val="15"/>
          <w:color w:val="auto"/>
        </w:rPr>
        <w:t>Net Income. Net income increased by 27%, primarily reflecting the increased sales level, partially offset by decreased margins.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3" w:lineRule="exact"/>
        <w:rPr>
          <w:sz w:val="20"/>
          <w:szCs w:val="20"/>
          <w:color w:val="auto"/>
        </w:rPr>
      </w:pPr>
    </w:p>
    <w:p>
      <w:pPr>
        <w:ind w:right="3679" w:firstLine="437"/>
        <w:spacing w:after="0" w:line="234" w:lineRule="auto"/>
        <w:rPr>
          <w:sz w:val="20"/>
          <w:szCs w:val="20"/>
          <w:color w:val="auto"/>
        </w:rPr>
      </w:pPr>
      <w:r>
        <w:rPr>
          <w:rFonts w:ascii="Courier New" w:cs="Courier New" w:eastAsia="Courier New" w:hAnsi="Courier New"/>
          <w:sz w:val="15"/>
          <w:szCs w:val="15"/>
          <w:color w:val="auto"/>
        </w:rPr>
        <w:t>The Company's financial condition throughout the periods presented has remained very strong.</w:t>
      </w:r>
    </w:p>
    <w:p>
      <w:pPr>
        <w:spacing w:after="0" w:line="5" w:lineRule="exact"/>
        <w:rPr>
          <w:sz w:val="20"/>
          <w:szCs w:val="20"/>
          <w:color w:val="auto"/>
        </w:rPr>
      </w:pPr>
    </w:p>
    <w:p>
      <w:pPr>
        <w:ind w:right="3759" w:firstLine="437"/>
        <w:spacing w:after="0" w:line="254" w:lineRule="auto"/>
        <w:rPr>
          <w:sz w:val="20"/>
          <w:szCs w:val="20"/>
          <w:color w:val="auto"/>
        </w:rPr>
      </w:pPr>
      <w:r>
        <w:rPr>
          <w:rFonts w:ascii="Courier New" w:cs="Courier New" w:eastAsia="Courier New" w:hAnsi="Courier New"/>
          <w:sz w:val="14"/>
          <w:szCs w:val="14"/>
          <w:color w:val="auto"/>
        </w:rPr>
        <w:t>The Company's current ratio decreased from 6.4 to 5.2, primarily as a result of increased accounts payable, due to higher production levels.</w:t>
      </w:r>
    </w:p>
    <w:p>
      <w:pPr>
        <w:ind w:left="440"/>
        <w:spacing w:after="0" w:line="231" w:lineRule="auto"/>
        <w:rPr>
          <w:sz w:val="20"/>
          <w:szCs w:val="20"/>
          <w:color w:val="auto"/>
        </w:rPr>
      </w:pPr>
      <w:r>
        <w:rPr>
          <w:rFonts w:ascii="Courier New" w:cs="Courier New" w:eastAsia="Courier New" w:hAnsi="Courier New"/>
          <w:sz w:val="15"/>
          <w:szCs w:val="15"/>
          <w:color w:val="auto"/>
        </w:rPr>
        <w:t>Management considers the Company's working capital of approximately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$61,328,000 and long-term investments of approximately $70,291,000 at December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31, 1997, together with internally generated cash flow and an unsecured</w:t>
      </w:r>
    </w:p>
    <w:p>
      <w:pPr>
        <w:spacing w:after="0" w:line="237" w:lineRule="auto"/>
        <w:rPr>
          <w:sz w:val="20"/>
          <w:szCs w:val="20"/>
          <w:color w:val="auto"/>
        </w:rPr>
      </w:pPr>
      <w:r>
        <w:rPr>
          <w:rFonts w:ascii="Courier New" w:cs="Courier New" w:eastAsia="Courier New" w:hAnsi="Courier New"/>
          <w:sz w:val="15"/>
          <w:szCs w:val="15"/>
          <w:color w:val="auto"/>
        </w:rPr>
        <w:t>$5,000,000 line of credit from a bank, to be sufficient to cover anticipated</w:t>
      </w:r>
    </w:p>
    <w:p>
      <w:pPr>
        <w:spacing w:after="0" w:line="238" w:lineRule="auto"/>
        <w:rPr>
          <w:sz w:val="20"/>
          <w:szCs w:val="20"/>
          <w:color w:val="auto"/>
        </w:rPr>
      </w:pPr>
      <w:r>
        <w:rPr>
          <w:rFonts w:ascii="Courier New" w:cs="Courier New" w:eastAsia="Courier New" w:hAnsi="Courier New"/>
          <w:sz w:val="15"/>
          <w:szCs w:val="15"/>
          <w:color w:val="auto"/>
        </w:rPr>
        <w:t>cash needs for the foreseeable future.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INFLATION, CHANGING PRICES AND OTHER</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In addition to price reductions over the life of its long-term agreements, the Company continues to experience pricing pressures from its automotive customers, which have affected, and which will continue to affect, its margins to the extent that the Company is unable to offset the price reductions with productivity and yield improvements, engineering and purchasing cost reductions, and increases in sales volume. In addition, the Company continues to experience some pressure for raw material cost increases.</w:t>
      </w:r>
    </w:p>
    <w:p>
      <w:pPr>
        <w:spacing w:after="0" w:line="32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281" w:right="1440" w:bottom="1440" w:gutter="0" w:footer="0" w:header="0"/>
        </w:sectPr>
      </w:pPr>
    </w:p>
    <w:bookmarkStart w:id="15" w:name="page16"/>
    <w:bookmarkEnd w:id="15"/>
    <w:p>
      <w:pPr>
        <w:ind w:left="280"/>
        <w:spacing w:after="0"/>
        <w:rPr>
          <w:sz w:val="20"/>
          <w:szCs w:val="20"/>
          <w:color w:val="auto"/>
        </w:rPr>
      </w:pPr>
      <w:r>
        <w:rPr>
          <w:rFonts w:ascii="Courier New" w:cs="Courier New" w:eastAsia="Courier New" w:hAnsi="Courier New"/>
          <w:sz w:val="15"/>
          <w:szCs w:val="15"/>
          <w:color w:val="auto"/>
        </w:rPr>
        <w:t>15</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The Company currently supplies NVS(R) Mirrors to BMW, Chrysler Corporation, Ford Motor Company and General Motors Corporation under long-term agreements. The BMW long-term contract is through March 31, 1999, and the long-term supply agreement with Chrysler Corporation runs through the 2003 Model Year. The term of the Ford contract is through December 1999, while the GM contract runs through the 1998 Model Year for exterior mirrors and through the 2002 Model Year for inside mirrors.</w:t>
      </w:r>
    </w:p>
    <w:p>
      <w:pPr>
        <w:spacing w:after="0" w:line="8"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The Company has developed a plan to ensure that its computer systems will be compliant by mid 1999 with the Year 2000. The Company currently believes that the cost of addressing the Year 2000 issue will not be material to the Company's business, operations or financial condition.</w:t>
      </w:r>
    </w:p>
    <w:p>
      <w:pPr>
        <w:spacing w:after="0" w:line="16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8.</w:t>
      </w:r>
      <w:r>
        <w:rPr>
          <w:sz w:val="20"/>
          <w:szCs w:val="20"/>
          <w:color w:val="auto"/>
        </w:rPr>
        <w:tab/>
      </w:r>
      <w:r>
        <w:rPr>
          <w:rFonts w:ascii="Courier New" w:cs="Courier New" w:eastAsia="Courier New" w:hAnsi="Courier New"/>
          <w:sz w:val="14"/>
          <w:szCs w:val="14"/>
          <w:color w:val="auto"/>
        </w:rPr>
        <w:t>FINANCIAL STATEMENTS AND SUPPLEMENTARY DATA.</w:t>
      </w:r>
    </w:p>
    <w:p>
      <w:pPr>
        <w:spacing w:after="0" w:line="5" w:lineRule="exact"/>
        <w:rPr>
          <w:sz w:val="20"/>
          <w:szCs w:val="20"/>
          <w:color w:val="auto"/>
        </w:rPr>
      </w:pPr>
    </w:p>
    <w:p>
      <w:pPr>
        <w:ind w:left="440" w:right="3399"/>
        <w:spacing w:after="0" w:line="235" w:lineRule="auto"/>
        <w:rPr>
          <w:sz w:val="20"/>
          <w:szCs w:val="20"/>
          <w:color w:val="auto"/>
        </w:rPr>
      </w:pPr>
      <w:r>
        <w:rPr>
          <w:rFonts w:ascii="Courier New" w:cs="Courier New" w:eastAsia="Courier New" w:hAnsi="Courier New"/>
          <w:sz w:val="15"/>
          <w:szCs w:val="15"/>
          <w:color w:val="auto"/>
        </w:rPr>
        <w:t>The following financial statements are filed with this report as pages 18 through 30 following the signature page: Report of Independent Public Accountants</w:t>
      </w:r>
    </w:p>
    <w:p>
      <w:pPr>
        <w:spacing w:after="0" w:line="5" w:lineRule="exact"/>
        <w:rPr>
          <w:sz w:val="20"/>
          <w:szCs w:val="20"/>
          <w:color w:val="auto"/>
        </w:rPr>
      </w:pPr>
    </w:p>
    <w:p>
      <w:pPr>
        <w:ind w:left="440" w:right="3499"/>
        <w:spacing w:after="0" w:line="235" w:lineRule="auto"/>
        <w:rPr>
          <w:sz w:val="20"/>
          <w:szCs w:val="20"/>
          <w:color w:val="auto"/>
        </w:rPr>
      </w:pPr>
      <w:r>
        <w:rPr>
          <w:rFonts w:ascii="Courier New" w:cs="Courier New" w:eastAsia="Courier New" w:hAnsi="Courier New"/>
          <w:sz w:val="15"/>
          <w:szCs w:val="15"/>
          <w:color w:val="auto"/>
        </w:rPr>
        <w:t>Consolidated Balance Sheets as of December 31, 1997 and 1996 Consolidated Statements of Income for the years ended December 31, 1997, 1996 and 1995</w:t>
      </w:r>
    </w:p>
    <w:p>
      <w:pPr>
        <w:spacing w:after="0" w:line="5" w:lineRule="exact"/>
        <w:rPr>
          <w:sz w:val="20"/>
          <w:szCs w:val="20"/>
          <w:color w:val="auto"/>
        </w:rPr>
      </w:pPr>
    </w:p>
    <w:p>
      <w:pPr>
        <w:ind w:left="440" w:right="3579"/>
        <w:spacing w:after="0" w:line="234" w:lineRule="auto"/>
        <w:rPr>
          <w:sz w:val="20"/>
          <w:szCs w:val="20"/>
          <w:color w:val="auto"/>
        </w:rPr>
      </w:pPr>
      <w:r>
        <w:rPr>
          <w:rFonts w:ascii="Courier New" w:cs="Courier New" w:eastAsia="Courier New" w:hAnsi="Courier New"/>
          <w:sz w:val="15"/>
          <w:szCs w:val="15"/>
          <w:color w:val="auto"/>
        </w:rPr>
        <w:t>Consolidated Statements of Shareholders' Investment for the years ended December 31, 1997, 1996 and 1995</w:t>
      </w:r>
    </w:p>
    <w:p>
      <w:pPr>
        <w:spacing w:after="0" w:line="5" w:lineRule="exact"/>
        <w:rPr>
          <w:sz w:val="20"/>
          <w:szCs w:val="20"/>
          <w:color w:val="auto"/>
        </w:rPr>
      </w:pPr>
    </w:p>
    <w:p>
      <w:pPr>
        <w:ind w:left="440" w:right="3679"/>
        <w:spacing w:after="0" w:line="234" w:lineRule="auto"/>
        <w:rPr>
          <w:sz w:val="20"/>
          <w:szCs w:val="20"/>
          <w:color w:val="auto"/>
        </w:rPr>
      </w:pPr>
      <w:r>
        <w:rPr>
          <w:rFonts w:ascii="Courier New" w:cs="Courier New" w:eastAsia="Courier New" w:hAnsi="Courier New"/>
          <w:sz w:val="15"/>
          <w:szCs w:val="15"/>
          <w:color w:val="auto"/>
        </w:rPr>
        <w:t>Consolidated Statements of Cash Flows for the years ended December 31, 1997, 1996 and 1995</w:t>
      </w:r>
    </w:p>
    <w:p>
      <w:pPr>
        <w:ind w:left="44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spacing w:after="0" w:line="174" w:lineRule="exact"/>
        <w:rPr>
          <w:sz w:val="20"/>
          <w:szCs w:val="20"/>
          <w:color w:val="auto"/>
        </w:rPr>
      </w:pPr>
    </w:p>
    <w:p>
      <w:pPr>
        <w:ind w:right="4019"/>
        <w:spacing w:after="0" w:line="234" w:lineRule="auto"/>
        <w:rPr>
          <w:sz w:val="20"/>
          <w:szCs w:val="20"/>
          <w:color w:val="auto"/>
        </w:rPr>
      </w:pPr>
      <w:r>
        <w:rPr>
          <w:rFonts w:ascii="Courier New" w:cs="Courier New" w:eastAsia="Courier New" w:hAnsi="Courier New"/>
          <w:sz w:val="15"/>
          <w:szCs w:val="15"/>
          <w:color w:val="auto"/>
        </w:rPr>
        <w:t>Selected quarterly financial data for the past two years appears in the following table.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300"/>
        <w:spacing w:after="0"/>
        <w:rPr>
          <w:sz w:val="20"/>
          <w:szCs w:val="20"/>
          <w:color w:val="auto"/>
        </w:rPr>
      </w:pPr>
      <w:r>
        <w:rPr>
          <w:rFonts w:ascii="Courier New" w:cs="Courier New" w:eastAsia="Courier New" w:hAnsi="Courier New"/>
          <w:sz w:val="15"/>
          <w:szCs w:val="15"/>
          <w:color w:val="auto"/>
        </w:rPr>
        <w:t>Quarterly Results of Operations</w:t>
      </w:r>
    </w:p>
    <w:p>
      <w:pPr>
        <w:ind w:left="4120"/>
        <w:spacing w:after="0" w:line="237" w:lineRule="auto"/>
        <w:rPr>
          <w:sz w:val="20"/>
          <w:szCs w:val="20"/>
          <w:color w:val="auto"/>
        </w:rPr>
      </w:pPr>
      <w:r>
        <w:rPr>
          <w:rFonts w:ascii="Courier New" w:cs="Courier New" w:eastAsia="Courier New" w:hAnsi="Courier New"/>
          <w:sz w:val="15"/>
          <w:szCs w:val="15"/>
          <w:color w:val="auto"/>
        </w:rPr>
        <w:t>(in thousands except per share data)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1840" w:type="dxa"/>
        <w:tblCellMar>
          <w:top w:w="0" w:type="dxa"/>
          <w:left w:w="0" w:type="dxa"/>
          <w:bottom w:w="0" w:type="dxa"/>
          <w:right w:w="0" w:type="dxa"/>
        </w:tblCellMar>
      </w:tblPr>
      <w:tr>
        <w:trPr>
          <w:trHeight w:val="170"/>
        </w:trPr>
        <w:tc>
          <w:tcPr>
            <w:tcW w:w="440" w:type="dxa"/>
            <w:vAlign w:val="bottom"/>
          </w:tcPr>
          <w:p>
            <w:pPr>
              <w:spacing w:after="0"/>
              <w:rPr>
                <w:sz w:val="14"/>
                <w:szCs w:val="14"/>
                <w:color w:val="auto"/>
              </w:rPr>
            </w:pPr>
          </w:p>
        </w:tc>
        <w:tc>
          <w:tcPr>
            <w:tcW w:w="158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First</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Second</w:t>
            </w: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2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93"/>
              </w:rPr>
              <w:t>Third</w:t>
            </w:r>
          </w:p>
        </w:tc>
        <w:tc>
          <w:tcPr>
            <w:tcW w:w="560" w:type="dxa"/>
            <w:vAlign w:val="bottom"/>
          </w:tcPr>
          <w:p>
            <w:pPr>
              <w:spacing w:after="0"/>
              <w:rPr>
                <w:sz w:val="14"/>
                <w:szCs w:val="14"/>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2"/>
              </w:rPr>
              <w:t>Fourth</w:t>
            </w:r>
          </w:p>
        </w:tc>
      </w:tr>
      <w:tr>
        <w:trPr>
          <w:trHeight w:val="168"/>
        </w:trPr>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1997</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1996</w:t>
            </w:r>
          </w:p>
        </w:tc>
        <w:tc>
          <w:tcPr>
            <w:tcW w:w="15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1997</w:t>
            </w:r>
          </w:p>
        </w:tc>
        <w:tc>
          <w:tcPr>
            <w:tcW w:w="7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1996</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1997</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1996</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1997</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1996</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0" w:type="dxa"/>
            <w:vAlign w:val="bottom"/>
          </w:tcPr>
          <w:p>
            <w:pPr>
              <w:spacing w:after="0"/>
              <w:rPr>
                <w:sz w:val="20"/>
                <w:szCs w:val="20"/>
                <w:color w:val="auto"/>
              </w:rPr>
            </w:pPr>
            <w:r>
              <w:rPr>
                <w:rFonts w:ascii="Courier New" w:cs="Courier New" w:eastAsia="Courier New" w:hAnsi="Courier New"/>
                <w:sz w:val="15"/>
                <w:szCs w:val="15"/>
                <w:color w:val="auto"/>
              </w:rPr>
              <w:t>Net</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Sales</w:t>
            </w: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$41,902</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$35,908</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$44,873</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$38,673</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$46,968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2"/>
              </w:rPr>
              <w:t>36,798</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$52,584</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$37,330</w:t>
            </w:r>
          </w:p>
        </w:tc>
      </w:tr>
      <w:tr>
        <w:trPr>
          <w:trHeight w:val="168"/>
        </w:trPr>
        <w:tc>
          <w:tcPr>
            <w:tcW w:w="17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Gross Profit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14,732</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13,530</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15,805</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14,492</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16,703</w:t>
            </w:r>
          </w:p>
        </w:tc>
        <w:tc>
          <w:tcPr>
            <w:tcW w:w="18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2"/>
              </w:rPr>
              <w:t>13,049</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20,147</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14,055</w:t>
            </w:r>
          </w:p>
        </w:tc>
      </w:tr>
      <w:tr>
        <w:trPr>
          <w:trHeight w:val="168"/>
        </w:trPr>
        <w:tc>
          <w:tcPr>
            <w:tcW w:w="17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Operating Income</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9,965</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4,161</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10,619</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9,856</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11,710</w:t>
            </w:r>
          </w:p>
        </w:tc>
        <w:tc>
          <w:tcPr>
            <w:tcW w:w="18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8,452</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15,189</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9,371</w:t>
            </w: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Net</w:t>
            </w:r>
          </w:p>
        </w:tc>
        <w:tc>
          <w:tcPr>
            <w:tcW w:w="1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Income</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7,384</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3,346</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8,001</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7,224</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8,667</w:t>
            </w:r>
          </w:p>
        </w:tc>
        <w:tc>
          <w:tcPr>
            <w:tcW w:w="18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6,333</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11,178</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7,060</w:t>
            </w:r>
          </w:p>
        </w:tc>
      </w:tr>
      <w:tr>
        <w:trPr>
          <w:trHeight w:val="168"/>
        </w:trPr>
        <w:tc>
          <w:tcPr>
            <w:tcW w:w="17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Earnings Per Share*</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.21</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.10</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.22</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.20</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.24</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w:t>
            </w:r>
          </w:p>
        </w:tc>
      </w:tr>
    </w:tbl>
    <w:p>
      <w:pPr>
        <w:spacing w:after="0" w:line="5" w:lineRule="exact"/>
        <w:rPr>
          <w:sz w:val="20"/>
          <w:szCs w:val="20"/>
          <w:color w:val="auto"/>
        </w:rPr>
      </w:pPr>
    </w:p>
    <w:p>
      <w:pPr>
        <w:ind w:left="180" w:hanging="170"/>
        <w:spacing w:after="0"/>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9"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*Diluted; adjusted for 2-for-1 stock split in June 1996.</w:t>
      </w:r>
    </w:p>
    <w:p>
      <w:pPr>
        <w:spacing w:after="0" w:line="33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9.</w:t>
      </w:r>
      <w:r>
        <w:rPr>
          <w:sz w:val="20"/>
          <w:szCs w:val="20"/>
          <w:color w:val="auto"/>
        </w:rPr>
        <w:tab/>
      </w:r>
      <w:r>
        <w:rPr>
          <w:rFonts w:ascii="Courier New" w:cs="Courier New" w:eastAsia="Courier New" w:hAnsi="Courier New"/>
          <w:sz w:val="14"/>
          <w:szCs w:val="14"/>
          <w:color w:val="auto"/>
        </w:rPr>
        <w:t>CHANGES AND DISAGREEMENTS WITH ACCOUNTANTS ON ACCOUNTING AND</w:t>
      </w:r>
    </w:p>
    <w:p>
      <w:pPr>
        <w:ind w:left="880"/>
        <w:spacing w:after="0" w:line="237" w:lineRule="auto"/>
        <w:rPr>
          <w:sz w:val="20"/>
          <w:szCs w:val="20"/>
          <w:color w:val="auto"/>
        </w:rPr>
      </w:pPr>
      <w:r>
        <w:rPr>
          <w:rFonts w:ascii="Courier New" w:cs="Courier New" w:eastAsia="Courier New" w:hAnsi="Courier New"/>
          <w:sz w:val="15"/>
          <w:szCs w:val="15"/>
          <w:color w:val="auto"/>
        </w:rPr>
        <w:t>FINANCIAL DISCLOSURE.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281" w:right="1440" w:bottom="1440" w:gutter="0" w:footer="0" w:header="0"/>
        </w:sectPr>
      </w:pPr>
    </w:p>
    <w:bookmarkStart w:id="16" w:name="page17"/>
    <w:bookmarkEnd w:id="16"/>
    <w:p>
      <w:pPr>
        <w:ind w:left="280"/>
        <w:spacing w:after="0"/>
        <w:rPr>
          <w:sz w:val="20"/>
          <w:szCs w:val="20"/>
          <w:color w:val="auto"/>
        </w:rPr>
      </w:pPr>
      <w:r>
        <w:rPr>
          <w:rFonts w:ascii="Courier New" w:cs="Courier New" w:eastAsia="Courier New" w:hAnsi="Courier New"/>
          <w:sz w:val="15"/>
          <w:szCs w:val="15"/>
          <w:color w:val="auto"/>
        </w:rPr>
        <w:t>16</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PART III</w:t>
      </w:r>
    </w:p>
    <w:p>
      <w:pPr>
        <w:spacing w:after="0" w:line="166"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ITEM 10.</w:t>
      </w:r>
      <w:r>
        <w:rPr>
          <w:sz w:val="20"/>
          <w:szCs w:val="20"/>
          <w:color w:val="auto"/>
        </w:rPr>
        <w:tab/>
      </w:r>
      <w:r>
        <w:rPr>
          <w:rFonts w:ascii="Courier New" w:cs="Courier New" w:eastAsia="Courier New" w:hAnsi="Courier New"/>
          <w:sz w:val="14"/>
          <w:szCs w:val="14"/>
          <w:color w:val="auto"/>
        </w:rPr>
        <w:t>DIRECTORS AND EXECUTIVE OFFICERS OF THE REGISTRANT.</w:t>
      </w:r>
    </w:p>
    <w:p>
      <w:pPr>
        <w:spacing w:after="0" w:line="173"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Information relating to executive officers is included in this report in the last section of Part I under the caption "Executive Officers of the Registrant". Information relating to directors appearing under the caption "Election of Directors" in the definitive Proxy Statement for the 1998 Annual Meeting of Shareholders and filed with the Commission is hereby incorporated herein by reference. Information concerning compliance with Section 16(a) of the Securities and Exchange Act of 1934 appearing under the caption "Section 16(A) Beneficial Ownership Reporting Compliance" in the definitive Proxy Statement for the 1998 Annual Meeting of Shareholders and filed with the Commission is hereby incorporated herein by reference.</w:t>
      </w:r>
    </w:p>
    <w:p>
      <w:pPr>
        <w:spacing w:after="0" w:line="173"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ITEM 11.</w:t>
      </w:r>
      <w:r>
        <w:rPr>
          <w:sz w:val="20"/>
          <w:szCs w:val="20"/>
          <w:color w:val="auto"/>
        </w:rPr>
        <w:tab/>
      </w:r>
      <w:r>
        <w:rPr>
          <w:rFonts w:ascii="Courier New" w:cs="Courier New" w:eastAsia="Courier New" w:hAnsi="Courier New"/>
          <w:sz w:val="14"/>
          <w:szCs w:val="14"/>
          <w:color w:val="auto"/>
        </w:rPr>
        <w:t>EXECUTIVE COMPENSATION.</w:t>
      </w:r>
    </w:p>
    <w:p>
      <w:pPr>
        <w:spacing w:after="0" w:line="173" w:lineRule="exact"/>
        <w:rPr>
          <w:sz w:val="20"/>
          <w:szCs w:val="20"/>
          <w:color w:val="auto"/>
        </w:rPr>
      </w:pPr>
    </w:p>
    <w:p>
      <w:pPr>
        <w:ind w:right="3679" w:firstLine="437"/>
        <w:spacing w:after="0" w:line="235" w:lineRule="auto"/>
        <w:rPr>
          <w:sz w:val="20"/>
          <w:szCs w:val="20"/>
          <w:color w:val="auto"/>
        </w:rPr>
      </w:pPr>
      <w:r>
        <w:rPr>
          <w:rFonts w:ascii="Courier New" w:cs="Courier New" w:eastAsia="Courier New" w:hAnsi="Courier New"/>
          <w:sz w:val="15"/>
          <w:szCs w:val="15"/>
          <w:color w:val="auto"/>
        </w:rPr>
        <w:t>The information contained under the caption "Executive Compensation" contained in the definitive Proxy Statement for the 1998 Annual Meeting of Shareholders and filed with the Commission is hereby incorporated herein by reference.</w:t>
      </w:r>
    </w:p>
    <w:p>
      <w:pPr>
        <w:spacing w:after="0" w:line="169"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ITEM 12.</w:t>
      </w:r>
      <w:r>
        <w:rPr>
          <w:sz w:val="20"/>
          <w:szCs w:val="20"/>
          <w:color w:val="auto"/>
        </w:rPr>
        <w:tab/>
      </w:r>
      <w:r>
        <w:rPr>
          <w:rFonts w:ascii="Courier New" w:cs="Courier New" w:eastAsia="Courier New" w:hAnsi="Courier New"/>
          <w:sz w:val="14"/>
          <w:szCs w:val="14"/>
          <w:color w:val="auto"/>
        </w:rPr>
        <w:t>SECURITY OWNERSHIP OF CERTAIN BENEFICIAL OWNERS AND MANAGEMENT.</w:t>
      </w:r>
    </w:p>
    <w:p>
      <w:pPr>
        <w:spacing w:after="0" w:line="173" w:lineRule="exact"/>
        <w:rPr>
          <w:sz w:val="20"/>
          <w:szCs w:val="20"/>
          <w:color w:val="auto"/>
        </w:rPr>
      </w:pPr>
    </w:p>
    <w:p>
      <w:pPr>
        <w:ind w:right="3499" w:firstLine="437"/>
        <w:spacing w:after="0" w:line="256" w:lineRule="auto"/>
        <w:rPr>
          <w:sz w:val="20"/>
          <w:szCs w:val="20"/>
          <w:color w:val="auto"/>
        </w:rPr>
      </w:pPr>
      <w:r>
        <w:rPr>
          <w:rFonts w:ascii="Courier New" w:cs="Courier New" w:eastAsia="Courier New" w:hAnsi="Courier New"/>
          <w:sz w:val="14"/>
          <w:szCs w:val="14"/>
          <w:color w:val="auto"/>
        </w:rPr>
        <w:t>The information contained under the captions "Securities Ownership of Management" and "Securities Ownership of Certain Beneficial Owners" contained in the definitive Proxy Statement for the 1998 Annual Meeting of Shareholders and filed with the Commission is hereby incorporated herein by reference.</w:t>
      </w:r>
    </w:p>
    <w:p>
      <w:pPr>
        <w:spacing w:after="0" w:line="158"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ITEM 13.</w:t>
      </w:r>
      <w:r>
        <w:rPr>
          <w:sz w:val="20"/>
          <w:szCs w:val="20"/>
          <w:color w:val="auto"/>
        </w:rPr>
        <w:tab/>
      </w:r>
      <w:r>
        <w:rPr>
          <w:rFonts w:ascii="Courier New" w:cs="Courier New" w:eastAsia="Courier New" w:hAnsi="Courier New"/>
          <w:sz w:val="14"/>
          <w:szCs w:val="14"/>
          <w:color w:val="auto"/>
        </w:rPr>
        <w:t>CERTAIN RELATIONSHIPS AND RELATED TRANSACTIONS.</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 information contained under the caption "Transactions with Management" contained in the definitive Proxy Statement for the 1998 Annual Meeting of Shareholders and filed with the Commission is hereby incorporated herein by reference.</w:t>
      </w:r>
    </w:p>
    <w:p>
      <w:pPr>
        <w:spacing w:after="0" w:line="169"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ITEM 14.</w:t>
      </w:r>
      <w:r>
        <w:rPr>
          <w:sz w:val="20"/>
          <w:szCs w:val="20"/>
          <w:color w:val="auto"/>
        </w:rPr>
        <w:tab/>
      </w:r>
      <w:r>
        <w:rPr>
          <w:rFonts w:ascii="Courier New" w:cs="Courier New" w:eastAsia="Courier New" w:hAnsi="Courier New"/>
          <w:sz w:val="14"/>
          <w:szCs w:val="14"/>
          <w:color w:val="auto"/>
        </w:rPr>
        <w:t>EXHIBITS, FINANCIAL STATEMENT SCHEDULES AND REPORTS ON FORM 8-K.</w:t>
      </w:r>
    </w:p>
    <w:p>
      <w:pPr>
        <w:spacing w:after="0" w:line="166" w:lineRule="exact"/>
        <w:rPr>
          <w:sz w:val="20"/>
          <w:szCs w:val="20"/>
          <w:color w:val="auto"/>
        </w:rPr>
      </w:pPr>
    </w:p>
    <w:p>
      <w:pPr>
        <w:ind w:left="1400" w:hanging="691"/>
        <w:spacing w:after="0"/>
        <w:tabs>
          <w:tab w:leader="none" w:pos="14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1.   Financial Statements.   See Item 8.</w:t>
      </w:r>
    </w:p>
    <w:p>
      <w:pPr>
        <w:ind w:left="1840" w:hanging="431"/>
        <w:spacing w:after="0" w:line="237" w:lineRule="auto"/>
        <w:tabs>
          <w:tab w:leader="none" w:pos="1840"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Statements Schedules.   Not applicable.</w:t>
      </w:r>
    </w:p>
    <w:p>
      <w:pPr>
        <w:ind w:left="1840" w:hanging="431"/>
        <w:spacing w:after="0" w:line="237" w:lineRule="auto"/>
        <w:tabs>
          <w:tab w:leader="none" w:pos="1840"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   See Exhibit Index located on page 31.</w:t>
      </w:r>
    </w:p>
    <w:p>
      <w:pPr>
        <w:spacing w:after="0" w:line="173" w:lineRule="exact"/>
        <w:rPr>
          <w:rFonts w:ascii="Courier New" w:cs="Courier New" w:eastAsia="Courier New" w:hAnsi="Courier New"/>
          <w:sz w:val="15"/>
          <w:szCs w:val="15"/>
          <w:color w:val="auto"/>
        </w:rPr>
      </w:pPr>
    </w:p>
    <w:p>
      <w:pPr>
        <w:ind w:left="1400" w:right="3579" w:hanging="691"/>
        <w:spacing w:after="0" w:line="234" w:lineRule="auto"/>
        <w:tabs>
          <w:tab w:leader="none" w:pos="14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reports on Form 8-K were filed for the three-month period ended December 31,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281" w:right="1440" w:bottom="1440" w:gutter="0" w:footer="0" w:header="0"/>
        </w:sectPr>
      </w:pPr>
    </w:p>
    <w:bookmarkStart w:id="17" w:name="page18"/>
    <w:bookmarkEnd w:id="17"/>
    <w:p>
      <w:pPr>
        <w:ind w:left="280"/>
        <w:spacing w:after="0"/>
        <w:rPr>
          <w:sz w:val="20"/>
          <w:szCs w:val="20"/>
          <w:color w:val="auto"/>
        </w:rPr>
      </w:pPr>
      <w:r>
        <w:rPr>
          <w:rFonts w:ascii="Courier New" w:cs="Courier New" w:eastAsia="Courier New" w:hAnsi="Courier New"/>
          <w:sz w:val="15"/>
          <w:szCs w:val="15"/>
          <w:color w:val="auto"/>
        </w:rPr>
        <w:t>17</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SIGNATURES</w:t>
      </w:r>
    </w:p>
    <w:p>
      <w:pPr>
        <w:spacing w:after="0" w:line="341"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Pursuant to the requirements of Section 13 of 15(d) of the Securities Exchange Act of 1934, the Registrant has duly caused this report to be signed on this behalf by the undersigned thereunto duly authorized.</w:t>
      </w:r>
    </w:p>
    <w:p>
      <w:pPr>
        <w:sectPr>
          <w:pgSz w:w="11900" w:h="16838" w:orient="portrait"/>
          <w:cols w:equalWidth="0" w:num="1">
            <w:col w:w="10239"/>
          </w:cols>
          <w:pgMar w:left="220" w:top="281" w:right="1440" w:bottom="1440" w:gutter="0" w:footer="0" w:header="0"/>
        </w:sect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March 6, 1998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GENTEX CORPORATION</w:t>
      </w:r>
    </w:p>
    <w:p>
      <w:pPr>
        <w:spacing w:after="0" w:line="368" w:lineRule="exact"/>
        <w:rPr>
          <w:sz w:val="20"/>
          <w:szCs w:val="20"/>
          <w:color w:val="auto"/>
        </w:rPr>
      </w:pPr>
    </w:p>
    <w:p>
      <w:pPr>
        <w:sectPr>
          <w:pgSz w:w="11900" w:h="16838" w:orient="portrait"/>
          <w:cols w:equalWidth="0" w:num="3">
            <w:col w:w="540" w:space="80"/>
            <w:col w:w="2260" w:space="720"/>
            <w:col w:w="6639"/>
          </w:cols>
          <w:pgMar w:left="220" w:top="281" w:right="1440" w:bottom="1440" w:gutter="0" w:footer="0" w:header="0"/>
          <w:type w:val="continuous"/>
        </w:sectPr>
      </w:pPr>
    </w:p>
    <w:p>
      <w:pPr>
        <w:spacing w:after="0" w:line="314"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288" w:lineRule="exact"/>
        <w:rPr>
          <w:sz w:val="20"/>
          <w:szCs w:val="20"/>
          <w:color w:val="auto"/>
        </w:rPr>
      </w:pPr>
    </w:p>
    <w:p>
      <w:pPr>
        <w:ind w:left="100"/>
        <w:spacing w:after="0"/>
        <w:tabs>
          <w:tab w:leader="none" w:pos="520" w:val="left"/>
        </w:tabs>
        <w:rPr>
          <w:sz w:val="20"/>
          <w:szCs w:val="20"/>
          <w:color w:val="auto"/>
        </w:rPr>
      </w:pPr>
      <w:r>
        <w:rPr>
          <w:rFonts w:ascii="Courier New" w:cs="Courier New" w:eastAsia="Courier New" w:hAnsi="Courier New"/>
          <w:sz w:val="15"/>
          <w:szCs w:val="15"/>
          <w:color w:val="auto"/>
        </w:rPr>
        <w:t>/s/</w:t>
      </w:r>
      <w:r>
        <w:rPr>
          <w:sz w:val="20"/>
          <w:szCs w:val="20"/>
          <w:color w:val="auto"/>
        </w:rPr>
        <w:tab/>
      </w:r>
      <w:r>
        <w:rPr>
          <w:rFonts w:ascii="Courier New" w:cs="Courier New" w:eastAsia="Courier New" w:hAnsi="Courier New"/>
          <w:sz w:val="14"/>
          <w:szCs w:val="14"/>
          <w:color w:val="auto"/>
        </w:rPr>
        <w:t>Fred Bauer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Fred Bauer, Chairman and</w:t>
      </w:r>
    </w:p>
    <w:p>
      <w:pPr>
        <w:spacing w:after="0" w:line="237" w:lineRule="auto"/>
        <w:rPr>
          <w:sz w:val="20"/>
          <w:szCs w:val="20"/>
          <w:color w:val="auto"/>
        </w:rPr>
      </w:pPr>
      <w:r>
        <w:rPr>
          <w:rFonts w:ascii="Courier New" w:cs="Courier New" w:eastAsia="Courier New" w:hAnsi="Courier New"/>
          <w:sz w:val="15"/>
          <w:szCs w:val="15"/>
          <w:color w:val="auto"/>
        </w:rPr>
        <w:t>Principal Executive Officer</w:t>
      </w:r>
    </w:p>
    <w:p>
      <w:pPr>
        <w:spacing w:after="0" w:line="167" w:lineRule="exact"/>
        <w:rPr>
          <w:sz w:val="20"/>
          <w:szCs w:val="20"/>
          <w:color w:val="auto"/>
        </w:rPr>
      </w:pPr>
    </w:p>
    <w:p>
      <w:pPr>
        <w:sectPr>
          <w:pgSz w:w="11900" w:h="16838" w:orient="portrait"/>
          <w:cols w:equalWidth="0" w:num="2">
            <w:col w:w="3860" w:space="80"/>
            <w:col w:w="6299"/>
          </w:cols>
          <w:pgMar w:left="220" w:top="281" w:right="1440" w:bottom="1440" w:gutter="0" w:footer="0" w:header="0"/>
          <w:type w:val="continuous"/>
        </w:sectPr>
      </w:pPr>
    </w:p>
    <w:p>
      <w:pPr>
        <w:ind w:left="3600"/>
        <w:spacing w:after="0"/>
        <w:rPr>
          <w:sz w:val="20"/>
          <w:szCs w:val="20"/>
          <w:color w:val="auto"/>
        </w:rPr>
      </w:pPr>
      <w:r>
        <w:rPr>
          <w:rFonts w:ascii="Courier New" w:cs="Courier New" w:eastAsia="Courier New" w:hAnsi="Courier New"/>
          <w:sz w:val="15"/>
          <w:szCs w:val="15"/>
          <w:color w:val="auto"/>
        </w:rPr>
        <w:t>and</w:t>
      </w:r>
    </w:p>
    <w:p>
      <w:pPr>
        <w:spacing w:after="0" w:line="173" w:lineRule="exact"/>
        <w:rPr>
          <w:sz w:val="20"/>
          <w:szCs w:val="20"/>
          <w:color w:val="auto"/>
        </w:rPr>
      </w:pPr>
    </w:p>
    <w:p>
      <w:pPr>
        <w:ind w:left="3940"/>
        <w:spacing w:after="0"/>
        <w:tabs>
          <w:tab w:leader="none" w:pos="4460" w:val="left"/>
        </w:tabs>
        <w:rPr>
          <w:sz w:val="20"/>
          <w:szCs w:val="20"/>
          <w:color w:val="auto"/>
        </w:rPr>
      </w:pPr>
      <w:r>
        <w:rPr>
          <w:rFonts w:ascii="Courier New" w:cs="Courier New" w:eastAsia="Courier New" w:hAnsi="Courier New"/>
          <w:sz w:val="14"/>
          <w:szCs w:val="14"/>
          <w:color w:val="auto"/>
        </w:rPr>
        <w:t>/s/</w:t>
      </w:r>
      <w:r>
        <w:rPr>
          <w:sz w:val="20"/>
          <w:szCs w:val="20"/>
          <w:color w:val="auto"/>
        </w:rPr>
        <w:tab/>
      </w:r>
      <w:r>
        <w:rPr>
          <w:rFonts w:ascii="Courier New" w:cs="Courier New" w:eastAsia="Courier New" w:hAnsi="Courier New"/>
          <w:sz w:val="14"/>
          <w:szCs w:val="14"/>
          <w:color w:val="auto"/>
        </w:rPr>
        <w:t>Enoch Jen</w:t>
      </w:r>
    </w:p>
    <w:p>
      <w:pPr>
        <w:sectPr>
          <w:pgSz w:w="11900" w:h="16838" w:orient="portrait"/>
          <w:cols w:equalWidth="0" w:num="1">
            <w:col w:w="10239"/>
          </w:cols>
          <w:pgMar w:left="220" w:top="281" w:right="1440" w:bottom="1440" w:gutter="0" w:footer="0" w:header="0"/>
          <w:type w:val="continuous"/>
        </w:sectPr>
      </w:pPr>
    </w:p>
    <w:p>
      <w:pPr>
        <w:spacing w:after="0" w:line="10" w:lineRule="exact"/>
        <w:rPr>
          <w:sz w:val="20"/>
          <w:szCs w:val="20"/>
          <w:color w:val="auto"/>
        </w:rPr>
      </w:pPr>
    </w:p>
    <w:p>
      <w:pPr>
        <w:ind w:left="3940"/>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ind w:left="3940"/>
        <w:spacing w:after="0"/>
        <w:rPr>
          <w:sz w:val="20"/>
          <w:szCs w:val="20"/>
          <w:color w:val="auto"/>
        </w:rPr>
      </w:pPr>
      <w:r>
        <w:rPr>
          <w:rFonts w:ascii="Courier New" w:cs="Courier New" w:eastAsia="Courier New" w:hAnsi="Courier New"/>
          <w:sz w:val="14"/>
          <w:szCs w:val="14"/>
          <w:color w:val="auto"/>
        </w:rPr>
        <w:t>Enoch Jen, Vice President-Finance</w:t>
      </w:r>
    </w:p>
    <w:p>
      <w:pPr>
        <w:spacing w:after="0" w:line="3"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and Principal Financial and</w:t>
      </w:r>
    </w:p>
    <w:p>
      <w:pPr>
        <w:ind w:left="3940"/>
        <w:spacing w:after="0" w:line="237" w:lineRule="auto"/>
        <w:rPr>
          <w:sz w:val="20"/>
          <w:szCs w:val="20"/>
          <w:color w:val="auto"/>
        </w:rPr>
      </w:pPr>
      <w:r>
        <w:rPr>
          <w:rFonts w:ascii="Courier New" w:cs="Courier New" w:eastAsia="Courier New" w:hAnsi="Courier New"/>
          <w:sz w:val="15"/>
          <w:szCs w:val="15"/>
          <w:color w:val="auto"/>
        </w:rPr>
        <w:t>Accounting Officer</w:t>
      </w:r>
    </w:p>
    <w:p>
      <w:pPr>
        <w:spacing w:after="0" w:line="200" w:lineRule="exact"/>
        <w:rPr>
          <w:sz w:val="20"/>
          <w:szCs w:val="20"/>
          <w:color w:val="auto"/>
        </w:rPr>
      </w:pPr>
    </w:p>
    <w:p>
      <w:pPr>
        <w:spacing w:after="0" w:line="310" w:lineRule="exact"/>
        <w:rPr>
          <w:sz w:val="20"/>
          <w:szCs w:val="20"/>
          <w:color w:val="auto"/>
        </w:rPr>
      </w:pPr>
    </w:p>
    <w:p>
      <w:pPr>
        <w:jc w:val="both"/>
        <w:ind w:right="3399" w:firstLine="437"/>
        <w:spacing w:after="0" w:line="258" w:lineRule="auto"/>
        <w:rPr>
          <w:sz w:val="20"/>
          <w:szCs w:val="20"/>
          <w:color w:val="auto"/>
        </w:rPr>
      </w:pPr>
      <w:r>
        <w:rPr>
          <w:rFonts w:ascii="Courier New" w:cs="Courier New" w:eastAsia="Courier New" w:hAnsi="Courier New"/>
          <w:sz w:val="14"/>
          <w:szCs w:val="14"/>
          <w:color w:val="auto"/>
        </w:rPr>
        <w:t>Pursuant to the requirements of the Securities Exchange Act of 1934, this report has been signed below on this 6th day of March, 1998, by the following persons on behalf of the Registrant and in the capacities indicated.</w:t>
      </w:r>
    </w:p>
    <w:p>
      <w:pPr>
        <w:spacing w:after="0" w:line="161" w:lineRule="exact"/>
        <w:rPr>
          <w:sz w:val="20"/>
          <w:szCs w:val="20"/>
          <w:color w:val="auto"/>
        </w:rPr>
      </w:pPr>
    </w:p>
    <w:p>
      <w:pPr>
        <w:ind w:right="3579" w:firstLine="437"/>
        <w:spacing w:after="0" w:line="236" w:lineRule="auto"/>
        <w:rPr>
          <w:sz w:val="20"/>
          <w:szCs w:val="20"/>
          <w:color w:val="auto"/>
        </w:rPr>
      </w:pPr>
      <w:r>
        <w:rPr>
          <w:rFonts w:ascii="Courier New" w:cs="Courier New" w:eastAsia="Courier New" w:hAnsi="Courier New"/>
          <w:sz w:val="15"/>
          <w:szCs w:val="15"/>
          <w:color w:val="auto"/>
        </w:rPr>
        <w:t>Each Director of the Registrant whose signature appears below hereby appoints Enoch Jen and Kenneth La Grand, each of them individually, as his attorney-in-fact to sign in his name and on his behalf, and to file with the Commission any and all amendments to this report on Form 10-K to the same extent and with the same effect as if done personally.</w:t>
      </w:r>
    </w:p>
    <w:p>
      <w:pPr>
        <w:spacing w:after="0" w:line="200" w:lineRule="exact"/>
        <w:rPr>
          <w:sz w:val="20"/>
          <w:szCs w:val="20"/>
          <w:color w:val="auto"/>
        </w:rPr>
      </w:pPr>
    </w:p>
    <w:p>
      <w:pPr>
        <w:spacing w:after="0" w:line="304" w:lineRule="exact"/>
        <w:rPr>
          <w:sz w:val="20"/>
          <w:szCs w:val="20"/>
          <w:color w:val="auto"/>
        </w:rPr>
      </w:pPr>
    </w:p>
    <w:p>
      <w:pPr>
        <w:spacing w:after="0"/>
        <w:tabs>
          <w:tab w:leader="none" w:pos="2000" w:val="left"/>
        </w:tabs>
        <w:rPr>
          <w:sz w:val="20"/>
          <w:szCs w:val="20"/>
          <w:color w:val="auto"/>
        </w:rPr>
      </w:pPr>
      <w:r>
        <w:rPr>
          <w:rFonts w:ascii="Courier New" w:cs="Courier New" w:eastAsia="Courier New" w:hAnsi="Courier New"/>
          <w:sz w:val="15"/>
          <w:szCs w:val="15"/>
          <w:color w:val="auto"/>
        </w:rPr>
        <w:t>/s/ Fred Bauer</w:t>
      </w:r>
      <w:r>
        <w:rPr>
          <w:sz w:val="20"/>
          <w:szCs w:val="20"/>
          <w:color w:val="auto"/>
        </w:rPr>
        <w:tab/>
      </w:r>
      <w:r>
        <w:rPr>
          <w:rFonts w:ascii="Courier New" w:cs="Courier New" w:eastAsia="Courier New" w:hAnsi="Courier New"/>
          <w:sz w:val="14"/>
          <w:szCs w:val="14"/>
          <w:color w:val="auto"/>
        </w:rPr>
        <w:t>Director</w:t>
      </w:r>
    </w:p>
    <w:p>
      <w:pPr>
        <w:ind w:left="180" w:hanging="170"/>
        <w:spacing w:after="0" w:line="237" w:lineRule="auto"/>
        <w:tabs>
          <w:tab w:leader="none" w:pos="1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Fred Bauer</w:t>
      </w:r>
    </w:p>
    <w:p>
      <w:pPr>
        <w:spacing w:after="0" w:line="335" w:lineRule="exact"/>
        <w:rPr>
          <w:sz w:val="20"/>
          <w:szCs w:val="20"/>
          <w:color w:val="auto"/>
        </w:rPr>
      </w:pPr>
    </w:p>
    <w:p>
      <w:pPr>
        <w:ind w:left="100"/>
        <w:spacing w:after="0"/>
        <w:tabs>
          <w:tab w:leader="none" w:pos="2000" w:val="left"/>
        </w:tabs>
        <w:rPr>
          <w:sz w:val="20"/>
          <w:szCs w:val="20"/>
          <w:color w:val="auto"/>
        </w:rPr>
      </w:pPr>
      <w:r>
        <w:rPr>
          <w:rFonts w:ascii="Courier New" w:cs="Courier New" w:eastAsia="Courier New" w:hAnsi="Courier New"/>
          <w:sz w:val="15"/>
          <w:szCs w:val="15"/>
          <w:color w:val="auto"/>
        </w:rPr>
        <w:t>/s/ Mickey E. Fouts</w:t>
      </w:r>
      <w:r>
        <w:rPr>
          <w:sz w:val="20"/>
          <w:szCs w:val="20"/>
          <w:color w:val="auto"/>
        </w:rPr>
        <w:tab/>
      </w:r>
      <w:r>
        <w:rPr>
          <w:rFonts w:ascii="Courier New" w:cs="Courier New" w:eastAsia="Courier New" w:hAnsi="Courier New"/>
          <w:sz w:val="14"/>
          <w:szCs w:val="14"/>
          <w:color w:val="auto"/>
        </w:rPr>
        <w:t>Director</w:t>
      </w:r>
    </w:p>
    <w:p>
      <w:pPr>
        <w:ind w:left="180" w:hanging="170"/>
        <w:spacing w:after="0" w:line="237" w:lineRule="auto"/>
        <w:tabs>
          <w:tab w:leader="none" w:pos="18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Mickey E. Fouts</w:t>
      </w:r>
    </w:p>
    <w:p>
      <w:pPr>
        <w:spacing w:after="0" w:line="335" w:lineRule="exact"/>
        <w:rPr>
          <w:sz w:val="20"/>
          <w:szCs w:val="20"/>
          <w:color w:val="auto"/>
        </w:rPr>
      </w:pPr>
    </w:p>
    <w:p>
      <w:pPr>
        <w:ind w:left="100"/>
        <w:spacing w:after="0"/>
        <w:tabs>
          <w:tab w:leader="none" w:pos="2000" w:val="left"/>
        </w:tabs>
        <w:rPr>
          <w:sz w:val="20"/>
          <w:szCs w:val="20"/>
          <w:color w:val="auto"/>
        </w:rPr>
      </w:pPr>
      <w:r>
        <w:rPr>
          <w:rFonts w:ascii="Courier New" w:cs="Courier New" w:eastAsia="Courier New" w:hAnsi="Courier New"/>
          <w:sz w:val="15"/>
          <w:szCs w:val="15"/>
          <w:color w:val="auto"/>
        </w:rPr>
        <w:t>/s/ Kenneth La Grand</w:t>
      </w:r>
      <w:r>
        <w:rPr>
          <w:sz w:val="20"/>
          <w:szCs w:val="20"/>
          <w:color w:val="auto"/>
        </w:rPr>
        <w:tab/>
      </w:r>
      <w:r>
        <w:rPr>
          <w:rFonts w:ascii="Courier New" w:cs="Courier New" w:eastAsia="Courier New" w:hAnsi="Courier New"/>
          <w:sz w:val="14"/>
          <w:szCs w:val="14"/>
          <w:color w:val="auto"/>
        </w:rPr>
        <w:t>Director</w:t>
      </w:r>
    </w:p>
    <w:p>
      <w:pPr>
        <w:ind w:left="180" w:hanging="170"/>
        <w:spacing w:after="0" w:line="237" w:lineRule="auto"/>
        <w:tabs>
          <w:tab w:leader="none" w:pos="1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Kenneth La Grand</w:t>
      </w:r>
    </w:p>
    <w:p>
      <w:pPr>
        <w:spacing w:after="0" w:line="335" w:lineRule="exact"/>
        <w:rPr>
          <w:sz w:val="20"/>
          <w:szCs w:val="20"/>
          <w:color w:val="auto"/>
        </w:rPr>
      </w:pPr>
    </w:p>
    <w:p>
      <w:pPr>
        <w:ind w:left="100"/>
        <w:spacing w:after="0"/>
        <w:tabs>
          <w:tab w:leader="none" w:pos="2000" w:val="left"/>
        </w:tabs>
        <w:rPr>
          <w:sz w:val="20"/>
          <w:szCs w:val="20"/>
          <w:color w:val="auto"/>
        </w:rPr>
      </w:pPr>
      <w:r>
        <w:rPr>
          <w:rFonts w:ascii="Courier New" w:cs="Courier New" w:eastAsia="Courier New" w:hAnsi="Courier New"/>
          <w:sz w:val="15"/>
          <w:szCs w:val="15"/>
          <w:color w:val="auto"/>
        </w:rPr>
        <w:t>/s/ Arlyn Lanting</w:t>
      </w:r>
      <w:r>
        <w:rPr>
          <w:sz w:val="20"/>
          <w:szCs w:val="20"/>
          <w:color w:val="auto"/>
        </w:rPr>
        <w:tab/>
      </w:r>
      <w:r>
        <w:rPr>
          <w:rFonts w:ascii="Courier New" w:cs="Courier New" w:eastAsia="Courier New" w:hAnsi="Courier New"/>
          <w:sz w:val="14"/>
          <w:szCs w:val="14"/>
          <w:color w:val="auto"/>
        </w:rPr>
        <w:t>Director</w:t>
      </w:r>
    </w:p>
    <w:p>
      <w:pPr>
        <w:ind w:left="180" w:hanging="170"/>
        <w:spacing w:after="0" w:line="237" w:lineRule="auto"/>
        <w:tabs>
          <w:tab w:leader="none" w:pos="18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Arlyn Lanting</w:t>
      </w:r>
    </w:p>
    <w:p>
      <w:pPr>
        <w:spacing w:after="0" w:line="335" w:lineRule="exact"/>
        <w:rPr>
          <w:sz w:val="20"/>
          <w:szCs w:val="20"/>
          <w:color w:val="auto"/>
        </w:rPr>
      </w:pPr>
    </w:p>
    <w:p>
      <w:pPr>
        <w:ind w:left="100"/>
        <w:spacing w:after="0"/>
        <w:tabs>
          <w:tab w:leader="none" w:pos="2000" w:val="left"/>
        </w:tabs>
        <w:rPr>
          <w:sz w:val="20"/>
          <w:szCs w:val="20"/>
          <w:color w:val="auto"/>
        </w:rPr>
      </w:pPr>
      <w:r>
        <w:rPr>
          <w:rFonts w:ascii="Courier New" w:cs="Courier New" w:eastAsia="Courier New" w:hAnsi="Courier New"/>
          <w:sz w:val="15"/>
          <w:szCs w:val="15"/>
          <w:color w:val="auto"/>
        </w:rPr>
        <w:t>/s/ John Mulder</w:t>
      </w:r>
      <w:r>
        <w:rPr>
          <w:sz w:val="20"/>
          <w:szCs w:val="20"/>
          <w:color w:val="auto"/>
        </w:rPr>
        <w:tab/>
      </w:r>
      <w:r>
        <w:rPr>
          <w:rFonts w:ascii="Courier New" w:cs="Courier New" w:eastAsia="Courier New" w:hAnsi="Courier New"/>
          <w:sz w:val="14"/>
          <w:szCs w:val="14"/>
          <w:color w:val="auto"/>
        </w:rPr>
        <w:t>Director</w:t>
      </w:r>
    </w:p>
    <w:p>
      <w:pPr>
        <w:ind w:left="180" w:hanging="170"/>
        <w:spacing w:after="0" w:line="237" w:lineRule="auto"/>
        <w:tabs>
          <w:tab w:leader="none" w:pos="1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John Mulder</w:t>
      </w:r>
    </w:p>
    <w:p>
      <w:pPr>
        <w:spacing w:after="0" w:line="335"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Director</w:t>
      </w:r>
    </w:p>
    <w:p>
      <w:pPr>
        <w:ind w:left="180" w:hanging="170"/>
        <w:spacing w:after="0" w:line="237" w:lineRule="auto"/>
        <w:tabs>
          <w:tab w:leader="none" w:pos="1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Ted Thompson</w:t>
      </w:r>
    </w:p>
    <w:p>
      <w:pPr>
        <w:spacing w:after="0" w:line="335" w:lineRule="exact"/>
        <w:rPr>
          <w:sz w:val="20"/>
          <w:szCs w:val="20"/>
          <w:color w:val="auto"/>
        </w:rPr>
      </w:pPr>
    </w:p>
    <w:p>
      <w:pPr>
        <w:ind w:left="100"/>
        <w:spacing w:after="0"/>
        <w:tabs>
          <w:tab w:leader="none" w:pos="2000" w:val="left"/>
        </w:tabs>
        <w:rPr>
          <w:sz w:val="20"/>
          <w:szCs w:val="20"/>
          <w:color w:val="auto"/>
        </w:rPr>
      </w:pPr>
      <w:r>
        <w:rPr>
          <w:rFonts w:ascii="Courier New" w:cs="Courier New" w:eastAsia="Courier New" w:hAnsi="Courier New"/>
          <w:sz w:val="15"/>
          <w:szCs w:val="15"/>
          <w:color w:val="auto"/>
        </w:rPr>
        <w:t>/s/ Leo Weber</w:t>
      </w:r>
      <w:r>
        <w:rPr>
          <w:sz w:val="20"/>
          <w:szCs w:val="20"/>
          <w:color w:val="auto"/>
        </w:rPr>
        <w:tab/>
      </w:r>
      <w:r>
        <w:rPr>
          <w:rFonts w:ascii="Courier New" w:cs="Courier New" w:eastAsia="Courier New" w:hAnsi="Courier New"/>
          <w:sz w:val="14"/>
          <w:szCs w:val="14"/>
          <w:color w:val="auto"/>
        </w:rPr>
        <w:t>Director</w:t>
      </w:r>
    </w:p>
    <w:p>
      <w:pPr>
        <w:ind w:left="180" w:hanging="170"/>
        <w:spacing w:after="0" w:line="237" w:lineRule="auto"/>
        <w:tabs>
          <w:tab w:leader="none" w:pos="18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Leo Weber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281" w:right="1440" w:bottom="1440" w:gutter="0" w:footer="0" w:header="0"/>
          <w:type w:val="continuous"/>
        </w:sectPr>
      </w:pPr>
    </w:p>
    <w:bookmarkStart w:id="18" w:name="page19"/>
    <w:bookmarkEnd w:id="18"/>
    <w:p>
      <w:pPr>
        <w:ind w:left="280"/>
        <w:spacing w:after="0"/>
        <w:rPr>
          <w:sz w:val="20"/>
          <w:szCs w:val="20"/>
          <w:color w:val="auto"/>
        </w:rPr>
      </w:pPr>
      <w:r>
        <w:rPr>
          <w:rFonts w:ascii="Courier New" w:cs="Courier New" w:eastAsia="Courier New" w:hAnsi="Courier New"/>
          <w:sz w:val="15"/>
          <w:szCs w:val="15"/>
          <w:color w:val="auto"/>
        </w:rPr>
        <w:t>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REPORT OF INDEPENDENT PUBLIC ACCOUNTANTS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Shareholders of Gentex Corporation:</w:t>
      </w:r>
    </w:p>
    <w:p>
      <w:pPr>
        <w:spacing w:after="0" w:line="173" w:lineRule="exact"/>
        <w:rPr>
          <w:sz w:val="20"/>
          <w:szCs w:val="20"/>
          <w:color w:val="auto"/>
        </w:rPr>
      </w:pPr>
    </w:p>
    <w:p>
      <w:pPr>
        <w:ind w:right="4199" w:firstLine="437"/>
        <w:spacing w:after="0" w:line="236" w:lineRule="auto"/>
        <w:rPr>
          <w:sz w:val="20"/>
          <w:szCs w:val="20"/>
          <w:color w:val="auto"/>
        </w:rPr>
      </w:pPr>
      <w:r>
        <w:rPr>
          <w:rFonts w:ascii="Courier New" w:cs="Courier New" w:eastAsia="Courier New" w:hAnsi="Courier New"/>
          <w:sz w:val="15"/>
          <w:szCs w:val="15"/>
          <w:color w:val="auto"/>
        </w:rPr>
        <w:t>We have audited the accompanying consolidated balance sheets of GENTEX CORPORATION (a Michigan corporation) and subsidiaries as of December 31, 1997 and 1996, and the related consolidated statements on income, shareholders' investment and cash flows for each of the three years in the period ended December 31, 1997. These financial statements are the responsibility of the Company's management. Our responsibility is to express an opinion on these financial statements based on our audits.</w:t>
      </w:r>
    </w:p>
    <w:p>
      <w:pPr>
        <w:spacing w:after="0" w:line="177" w:lineRule="exact"/>
        <w:rPr>
          <w:sz w:val="20"/>
          <w:szCs w:val="20"/>
          <w:color w:val="auto"/>
        </w:rPr>
      </w:pPr>
    </w:p>
    <w:p>
      <w:pPr>
        <w:ind w:right="4199" w:firstLine="437"/>
        <w:spacing w:after="0" w:line="236" w:lineRule="auto"/>
        <w:rPr>
          <w:sz w:val="20"/>
          <w:szCs w:val="20"/>
          <w:color w:val="auto"/>
        </w:rPr>
      </w:pPr>
      <w:r>
        <w:rPr>
          <w:rFonts w:ascii="Courier New" w:cs="Courier New" w:eastAsia="Courier New" w:hAnsi="Courier New"/>
          <w:sz w:val="15"/>
          <w:szCs w:val="15"/>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9" w:lineRule="exact"/>
        <w:rPr>
          <w:sz w:val="20"/>
          <w:szCs w:val="20"/>
          <w:color w:val="auto"/>
        </w:rPr>
      </w:pPr>
    </w:p>
    <w:p>
      <w:pPr>
        <w:ind w:right="4199" w:firstLine="437"/>
        <w:spacing w:after="0" w:line="236"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financial position of Gentex Corporation and subsidiaries as of December 31, 1997 and 1996, and the results of their operations and their cash flows for each of the three years in the period ended December 31, 1997, in conformity with generally accepted accounting principles.</w:t>
      </w:r>
    </w:p>
    <w:p>
      <w:pPr>
        <w:spacing w:after="0" w:line="337" w:lineRule="exact"/>
        <w:rPr>
          <w:sz w:val="20"/>
          <w:szCs w:val="20"/>
          <w:color w:val="auto"/>
        </w:rPr>
      </w:pPr>
    </w:p>
    <w:p>
      <w:pPr>
        <w:ind w:left="3160"/>
        <w:spacing w:after="0"/>
        <w:tabs>
          <w:tab w:leader="none" w:pos="3580" w:val="left"/>
        </w:tabs>
        <w:rPr>
          <w:sz w:val="20"/>
          <w:szCs w:val="20"/>
          <w:color w:val="auto"/>
        </w:rPr>
      </w:pPr>
      <w:r>
        <w:rPr>
          <w:rFonts w:ascii="Courier New" w:cs="Courier New" w:eastAsia="Courier New" w:hAnsi="Courier New"/>
          <w:sz w:val="15"/>
          <w:szCs w:val="15"/>
          <w:color w:val="auto"/>
        </w:rPr>
        <w:t>/s/</w:t>
      </w:r>
      <w:r>
        <w:rPr>
          <w:sz w:val="20"/>
          <w:szCs w:val="20"/>
          <w:color w:val="auto"/>
        </w:rPr>
        <w:tab/>
      </w:r>
      <w:r>
        <w:rPr>
          <w:rFonts w:ascii="Courier New" w:cs="Courier New" w:eastAsia="Courier New" w:hAnsi="Courier New"/>
          <w:sz w:val="14"/>
          <w:szCs w:val="14"/>
          <w:color w:val="auto"/>
        </w:rPr>
        <w:t>Arthur Andersen LLP</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Grand Rapids, Michigan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22,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281" w:right="1440" w:bottom="1440" w:gutter="0" w:footer="0" w:header="0"/>
        </w:sectPr>
      </w:pPr>
    </w:p>
    <w:bookmarkStart w:id="19" w:name="page20"/>
    <w:bookmarkEnd w:id="19"/>
    <w:p>
      <w:pPr>
        <w:ind w:left="280"/>
        <w:spacing w:after="0"/>
        <w:rPr>
          <w:sz w:val="20"/>
          <w:szCs w:val="20"/>
          <w:color w:val="auto"/>
        </w:rPr>
      </w:pPr>
      <w:r>
        <w:rPr>
          <w:rFonts w:ascii="Courier New" w:cs="Courier New" w:eastAsia="Courier New" w:hAnsi="Courier New"/>
          <w:sz w:val="15"/>
          <w:szCs w:val="15"/>
          <w:color w:val="auto"/>
        </w:rPr>
        <w:t>19</w:t>
      </w:r>
    </w:p>
    <w:p>
      <w:pPr>
        <w:jc w:val="center"/>
        <w:ind w:right="3319"/>
        <w:spacing w:after="0" w:line="237" w:lineRule="auto"/>
        <w:rPr>
          <w:sz w:val="20"/>
          <w:szCs w:val="20"/>
          <w:color w:val="auto"/>
        </w:rPr>
      </w:pPr>
      <w:r>
        <w:rPr>
          <w:rFonts w:ascii="Courier New" w:cs="Courier New" w:eastAsia="Courier New" w:hAnsi="Courier New"/>
          <w:sz w:val="15"/>
          <w:szCs w:val="15"/>
          <w:color w:val="auto"/>
        </w:rPr>
        <w:t>GENTEX CORPORATION AND SUBSIDIARIES</w:t>
      </w:r>
    </w:p>
    <w:p>
      <w:pPr>
        <w:spacing w:after="0" w:line="167"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CONSOLIDATED BALANCE SHEETS</w:t>
      </w:r>
    </w:p>
    <w:p>
      <w:pPr>
        <w:spacing w:after="0" w:line="16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AS OF DECEMBER 31, 1997 AND 1996</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2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1997</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4040" w:type="dxa"/>
            <w:vAlign w:val="bottom"/>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0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2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4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$ 26,768,647</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$ 16,730,356</w:t>
            </w:r>
          </w:p>
        </w:tc>
      </w:tr>
      <w:tr>
        <w:trPr>
          <w:trHeight w:val="168"/>
        </w:trPr>
        <w:tc>
          <w:tcPr>
            <w:tcW w:w="4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Short-term investments</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14,362,736</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31,803,621</w:t>
            </w:r>
          </w:p>
        </w:tc>
      </w:tr>
      <w:tr>
        <w:trPr>
          <w:trHeight w:val="168"/>
        </w:trPr>
        <w:tc>
          <w:tcPr>
            <w:tcW w:w="4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Accounts receivable, less allowances</w:t>
            </w:r>
          </w:p>
        </w:tc>
        <w:tc>
          <w:tcPr>
            <w:tcW w:w="12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40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w w:val="99"/>
              </w:rPr>
              <w:t>of $225,000 and $200,000 in 1997 &amp; 1996</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24,515,525</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17,015,174</w:t>
            </w:r>
          </w:p>
        </w:tc>
      </w:tr>
      <w:tr>
        <w:trPr>
          <w:trHeight w:val="168"/>
        </w:trPr>
        <w:tc>
          <w:tcPr>
            <w:tcW w:w="4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Inventories</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8,787,689</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6,180,422</w:t>
            </w:r>
          </w:p>
        </w:tc>
      </w:tr>
      <w:tr>
        <w:trPr>
          <w:trHeight w:val="168"/>
        </w:trPr>
        <w:tc>
          <w:tcPr>
            <w:tcW w:w="4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Prepaid expenses and other</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1,484,839</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966,287</w:t>
            </w:r>
          </w:p>
        </w:tc>
      </w:tr>
      <w:tr>
        <w:trPr>
          <w:trHeight w:val="168"/>
        </w:trPr>
        <w:tc>
          <w:tcPr>
            <w:tcW w:w="4040" w:type="dxa"/>
            <w:vAlign w:val="bottom"/>
          </w:tcPr>
          <w:p>
            <w:pPr>
              <w:spacing w:after="0"/>
              <w:rPr>
                <w:sz w:val="14"/>
                <w:szCs w:val="14"/>
                <w:color w:val="auto"/>
              </w:rPr>
            </w:pP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0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75,919,436</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72,695,860</w:t>
            </w:r>
          </w:p>
        </w:tc>
      </w:tr>
      <w:tr>
        <w:trPr>
          <w:trHeight w:val="505"/>
        </w:trPr>
        <w:tc>
          <w:tcPr>
            <w:tcW w:w="4040" w:type="dxa"/>
            <w:vAlign w:val="bottom"/>
          </w:tcPr>
          <w:p>
            <w:pPr>
              <w:spacing w:after="0"/>
              <w:rPr>
                <w:sz w:val="20"/>
                <w:szCs w:val="20"/>
                <w:color w:val="auto"/>
              </w:rPr>
            </w:pPr>
            <w:r>
              <w:rPr>
                <w:rFonts w:ascii="Courier New" w:cs="Courier New" w:eastAsia="Courier New" w:hAnsi="Courier New"/>
                <w:sz w:val="15"/>
                <w:szCs w:val="15"/>
                <w:color w:val="auto"/>
              </w:rPr>
              <w:t>PLANT AND EQUIPMENT:</w:t>
            </w:r>
          </w:p>
        </w:tc>
        <w:tc>
          <w:tcPr>
            <w:tcW w:w="12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4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Land, building and improvements</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19,689,743</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15,335,447</w:t>
            </w:r>
          </w:p>
        </w:tc>
      </w:tr>
      <w:tr>
        <w:trPr>
          <w:trHeight w:val="168"/>
        </w:trPr>
        <w:tc>
          <w:tcPr>
            <w:tcW w:w="4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Machinery and equipment</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37,158,968</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27,155,406</w:t>
            </w:r>
          </w:p>
        </w:tc>
      </w:tr>
      <w:tr>
        <w:trPr>
          <w:trHeight w:val="168"/>
        </w:trPr>
        <w:tc>
          <w:tcPr>
            <w:tcW w:w="4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Construction-in-process</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6,166,893</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4,729,615</w:t>
            </w:r>
          </w:p>
        </w:tc>
      </w:tr>
      <w:tr>
        <w:trPr>
          <w:trHeight w:val="168"/>
        </w:trPr>
        <w:tc>
          <w:tcPr>
            <w:tcW w:w="4040" w:type="dxa"/>
            <w:vAlign w:val="bottom"/>
          </w:tcPr>
          <w:p>
            <w:pPr>
              <w:spacing w:after="0"/>
              <w:rPr>
                <w:sz w:val="14"/>
                <w:szCs w:val="14"/>
                <w:color w:val="auto"/>
              </w:rPr>
            </w:pP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040" w:type="dxa"/>
            <w:vAlign w:val="bottom"/>
          </w:tcPr>
          <w:p>
            <w:pPr>
              <w:spacing w:after="0"/>
              <w:rPr>
                <w:sz w:val="14"/>
                <w:szCs w:val="14"/>
                <w:color w:val="auto"/>
              </w:rPr>
            </w:pP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63,015,604</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47,220,468</w:t>
            </w:r>
          </w:p>
        </w:tc>
      </w:tr>
      <w:tr>
        <w:trPr>
          <w:trHeight w:val="168"/>
        </w:trPr>
        <w:tc>
          <w:tcPr>
            <w:tcW w:w="4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Less-Accumulated depreciation</w:t>
            </w:r>
          </w:p>
        </w:tc>
        <w:tc>
          <w:tcPr>
            <w:tcW w:w="12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40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and amortization</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(20,776,719)</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(15,645,921)</w:t>
            </w:r>
          </w:p>
        </w:tc>
      </w:tr>
      <w:tr>
        <w:trPr>
          <w:trHeight w:val="168"/>
        </w:trPr>
        <w:tc>
          <w:tcPr>
            <w:tcW w:w="4040" w:type="dxa"/>
            <w:vAlign w:val="bottom"/>
          </w:tcPr>
          <w:p>
            <w:pPr>
              <w:spacing w:after="0"/>
              <w:rPr>
                <w:sz w:val="14"/>
                <w:szCs w:val="14"/>
                <w:color w:val="auto"/>
              </w:rPr>
            </w:pP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040" w:type="dxa"/>
            <w:vAlign w:val="bottom"/>
          </w:tcPr>
          <w:p>
            <w:pPr>
              <w:spacing w:after="0"/>
              <w:rPr>
                <w:sz w:val="14"/>
                <w:szCs w:val="14"/>
                <w:color w:val="auto"/>
              </w:rPr>
            </w:pP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42,238,885</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31,574,547</w:t>
            </w:r>
          </w:p>
        </w:tc>
      </w:tr>
      <w:tr>
        <w:trPr>
          <w:trHeight w:val="505"/>
        </w:trPr>
        <w:tc>
          <w:tcPr>
            <w:tcW w:w="404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12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4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Long-term investments</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70,291,142</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33,945,446</w:t>
            </w:r>
          </w:p>
        </w:tc>
      </w:tr>
      <w:tr>
        <w:trPr>
          <w:trHeight w:val="168"/>
        </w:trPr>
        <w:tc>
          <w:tcPr>
            <w:tcW w:w="4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Patents and other assets, net</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1,333,384</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2,162,567</w:t>
            </w:r>
          </w:p>
        </w:tc>
      </w:tr>
      <w:tr>
        <w:trPr>
          <w:trHeight w:val="168"/>
        </w:trPr>
        <w:tc>
          <w:tcPr>
            <w:tcW w:w="4040" w:type="dxa"/>
            <w:vAlign w:val="bottom"/>
          </w:tcPr>
          <w:p>
            <w:pPr>
              <w:spacing w:after="0"/>
              <w:rPr>
                <w:sz w:val="14"/>
                <w:szCs w:val="14"/>
                <w:color w:val="auto"/>
              </w:rPr>
            </w:pP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040" w:type="dxa"/>
            <w:vAlign w:val="bottom"/>
          </w:tcPr>
          <w:p>
            <w:pPr>
              <w:spacing w:after="0"/>
              <w:rPr>
                <w:sz w:val="14"/>
                <w:szCs w:val="14"/>
                <w:color w:val="auto"/>
              </w:rPr>
            </w:pP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71,624,526</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36,108,013</w:t>
            </w:r>
          </w:p>
        </w:tc>
      </w:tr>
      <w:tr>
        <w:trPr>
          <w:trHeight w:val="168"/>
        </w:trPr>
        <w:tc>
          <w:tcPr>
            <w:tcW w:w="4040" w:type="dxa"/>
            <w:vAlign w:val="bottom"/>
          </w:tcPr>
          <w:p>
            <w:pPr>
              <w:spacing w:after="0"/>
              <w:rPr>
                <w:sz w:val="14"/>
                <w:szCs w:val="14"/>
                <w:color w:val="auto"/>
              </w:rPr>
            </w:pP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4040" w:type="dxa"/>
            <w:vAlign w:val="bottom"/>
          </w:tcPr>
          <w:p>
            <w:pPr>
              <w:spacing w:after="0"/>
              <w:rPr>
                <w:sz w:val="24"/>
                <w:szCs w:val="24"/>
                <w:color w:val="auto"/>
              </w:rPr>
            </w:pPr>
          </w:p>
        </w:tc>
        <w:tc>
          <w:tcPr>
            <w:tcW w:w="12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$189,782,847</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$140,378,420</w:t>
            </w:r>
          </w:p>
        </w:tc>
      </w:tr>
      <w:tr>
        <w:trPr>
          <w:trHeight w:val="168"/>
        </w:trPr>
        <w:tc>
          <w:tcPr>
            <w:tcW w:w="4040" w:type="dxa"/>
            <w:vAlign w:val="bottom"/>
          </w:tcPr>
          <w:p>
            <w:pPr>
              <w:spacing w:after="0"/>
              <w:rPr>
                <w:sz w:val="14"/>
                <w:szCs w:val="14"/>
                <w:color w:val="auto"/>
              </w:rPr>
            </w:pP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80" w:type="dxa"/>
            <w:vAlign w:val="bottom"/>
            <w:gridSpan w:val="2"/>
          </w:tcPr>
          <w:p>
            <w:pPr>
              <w:spacing w:after="0"/>
              <w:rPr>
                <w:sz w:val="20"/>
                <w:szCs w:val="20"/>
                <w:color w:val="auto"/>
              </w:rPr>
            </w:pPr>
            <w:r>
              <w:rPr>
                <w:rFonts w:ascii="Courier New" w:cs="Courier New" w:eastAsia="Courier New" w:hAnsi="Courier New"/>
                <w:sz w:val="15"/>
                <w:szCs w:val="15"/>
                <w:color w:val="auto"/>
              </w:rPr>
              <w:t>LIABILITIES AND SHAREHOLDERS' INVESTMENT</w:t>
            </w:r>
          </w:p>
        </w:tc>
        <w:tc>
          <w:tcPr>
            <w:tcW w:w="1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w:t>
            </w:r>
          </w:p>
        </w:tc>
        <w:tc>
          <w:tcPr>
            <w:tcW w:w="1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13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1997</w:t>
            </w:r>
          </w:p>
        </w:tc>
        <w:tc>
          <w:tcPr>
            <w:tcW w:w="12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13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80" w:type="dxa"/>
            <w:vAlign w:val="bottom"/>
            <w:gridSpan w:val="2"/>
          </w:tcPr>
          <w:p>
            <w:pPr>
              <w:spacing w:after="0"/>
              <w:rPr>
                <w:sz w:val="20"/>
                <w:szCs w:val="20"/>
                <w:color w:val="auto"/>
              </w:rPr>
            </w:pPr>
            <w:r>
              <w:rPr>
                <w:rFonts w:ascii="Courier New" w:cs="Courier New" w:eastAsia="Courier New" w:hAnsi="Courier New"/>
                <w:sz w:val="15"/>
                <w:szCs w:val="15"/>
                <w:color w:val="auto"/>
              </w:rPr>
              <w:t>CURRENT LIABILITIES:</w:t>
            </w:r>
          </w:p>
        </w:tc>
        <w:tc>
          <w:tcPr>
            <w:tcW w:w="1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8"/>
        </w:trPr>
        <w:tc>
          <w:tcPr>
            <w:tcW w:w="398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Accounts payable</w:t>
            </w:r>
          </w:p>
        </w:tc>
        <w:tc>
          <w:tcPr>
            <w:tcW w:w="13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8,760,256</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5,794,832</w:t>
            </w:r>
          </w:p>
        </w:tc>
      </w:tr>
      <w:tr>
        <w:trPr>
          <w:trHeight w:val="168"/>
        </w:trPr>
        <w:tc>
          <w:tcPr>
            <w:tcW w:w="398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Accrued liabilities:</w:t>
            </w:r>
          </w:p>
        </w:tc>
        <w:tc>
          <w:tcPr>
            <w:tcW w:w="1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980" w:type="dxa"/>
            <w:vAlign w:val="bottom"/>
            <w:gridSpan w:val="2"/>
          </w:tcPr>
          <w:p>
            <w:pPr>
              <w:ind w:left="880"/>
              <w:spacing w:after="0" w:line="168" w:lineRule="exact"/>
              <w:rPr>
                <w:sz w:val="20"/>
                <w:szCs w:val="20"/>
                <w:color w:val="auto"/>
              </w:rPr>
            </w:pPr>
            <w:r>
              <w:rPr>
                <w:rFonts w:ascii="Courier New" w:cs="Courier New" w:eastAsia="Courier New" w:hAnsi="Courier New"/>
                <w:sz w:val="15"/>
                <w:szCs w:val="15"/>
                <w:color w:val="auto"/>
              </w:rPr>
              <w:t>Salaries, wages and vacation</w:t>
            </w:r>
          </w:p>
        </w:tc>
        <w:tc>
          <w:tcPr>
            <w:tcW w:w="13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1,567,395</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1,240,834</w:t>
            </w:r>
          </w:p>
        </w:tc>
      </w:tr>
      <w:tr>
        <w:trPr>
          <w:trHeight w:val="168"/>
        </w:trPr>
        <w:tc>
          <w:tcPr>
            <w:tcW w:w="136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Taxes</w:t>
            </w:r>
          </w:p>
        </w:tc>
        <w:tc>
          <w:tcPr>
            <w:tcW w:w="2620" w:type="dxa"/>
            <w:vAlign w:val="bottom"/>
          </w:tcPr>
          <w:p>
            <w:pPr>
              <w:spacing w:after="0"/>
              <w:rPr>
                <w:sz w:val="14"/>
                <w:szCs w:val="14"/>
                <w:color w:val="auto"/>
              </w:rPr>
            </w:pPr>
          </w:p>
        </w:tc>
        <w:tc>
          <w:tcPr>
            <w:tcW w:w="13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2,347,284</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2,686,815</w:t>
            </w:r>
          </w:p>
        </w:tc>
      </w:tr>
      <w:tr>
        <w:trPr>
          <w:trHeight w:val="168"/>
        </w:trPr>
        <w:tc>
          <w:tcPr>
            <w:tcW w:w="136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Other</w:t>
            </w:r>
          </w:p>
        </w:tc>
        <w:tc>
          <w:tcPr>
            <w:tcW w:w="2620" w:type="dxa"/>
            <w:vAlign w:val="bottom"/>
          </w:tcPr>
          <w:p>
            <w:pPr>
              <w:spacing w:after="0"/>
              <w:rPr>
                <w:sz w:val="14"/>
                <w:szCs w:val="14"/>
                <w:color w:val="auto"/>
              </w:rPr>
            </w:pPr>
          </w:p>
        </w:tc>
        <w:tc>
          <w:tcPr>
            <w:tcW w:w="13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1,916,289</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1,638,436</w:t>
            </w:r>
          </w:p>
        </w:tc>
      </w:tr>
      <w:tr>
        <w:trPr>
          <w:trHeight w:val="168"/>
        </w:trPr>
        <w:tc>
          <w:tcPr>
            <w:tcW w:w="13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3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80" w:type="dxa"/>
            <w:vAlign w:val="bottom"/>
            <w:gridSpan w:val="2"/>
          </w:tcPr>
          <w:p>
            <w:pPr>
              <w:ind w:left="1240"/>
              <w:spacing w:after="0"/>
              <w:rPr>
                <w:sz w:val="20"/>
                <w:szCs w:val="20"/>
                <w:color w:val="auto"/>
              </w:rPr>
            </w:pPr>
            <w:r>
              <w:rPr>
                <w:rFonts w:ascii="Courier New" w:cs="Courier New" w:eastAsia="Courier New" w:hAnsi="Courier New"/>
                <w:sz w:val="15"/>
                <w:szCs w:val="15"/>
                <w:color w:val="auto"/>
              </w:rPr>
              <w:t>Total current liabilities</w:t>
            </w: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14,591,224</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11,360,917</w:t>
            </w:r>
          </w:p>
        </w:tc>
      </w:tr>
      <w:tr>
        <w:trPr>
          <w:trHeight w:val="336"/>
        </w:trPr>
        <w:tc>
          <w:tcPr>
            <w:tcW w:w="1360" w:type="dxa"/>
            <w:vAlign w:val="bottom"/>
          </w:tcPr>
          <w:p>
            <w:pPr>
              <w:spacing w:after="0"/>
              <w:rPr>
                <w:sz w:val="20"/>
                <w:szCs w:val="20"/>
                <w:color w:val="auto"/>
              </w:rPr>
            </w:pPr>
            <w:r>
              <w:rPr>
                <w:rFonts w:ascii="Courier New" w:cs="Courier New" w:eastAsia="Courier New" w:hAnsi="Courier New"/>
                <w:sz w:val="15"/>
                <w:szCs w:val="15"/>
                <w:color w:val="auto"/>
                <w:w w:val="99"/>
              </w:rPr>
              <w:t>DEFERRED INCOME</w:t>
            </w:r>
          </w:p>
        </w:tc>
        <w:tc>
          <w:tcPr>
            <w:tcW w:w="2620" w:type="dxa"/>
            <w:vAlign w:val="bottom"/>
          </w:tcPr>
          <w:p>
            <w:pPr>
              <w:ind w:left="40"/>
              <w:spacing w:after="0"/>
              <w:rPr>
                <w:sz w:val="20"/>
                <w:szCs w:val="20"/>
                <w:color w:val="auto"/>
              </w:rPr>
            </w:pPr>
            <w:r>
              <w:rPr>
                <w:rFonts w:ascii="Courier New" w:cs="Courier New" w:eastAsia="Courier New" w:hAnsi="Courier New"/>
                <w:sz w:val="15"/>
                <w:szCs w:val="15"/>
                <w:color w:val="auto"/>
              </w:rPr>
              <w:t>TAXES</w:t>
            </w: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1,986,446</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1,213,862</w:t>
            </w:r>
          </w:p>
        </w:tc>
      </w:tr>
      <w:tr>
        <w:trPr>
          <w:trHeight w:val="505"/>
        </w:trPr>
        <w:tc>
          <w:tcPr>
            <w:tcW w:w="1360" w:type="dxa"/>
            <w:vAlign w:val="bottom"/>
          </w:tcPr>
          <w:p>
            <w:pPr>
              <w:spacing w:after="0"/>
              <w:rPr>
                <w:sz w:val="20"/>
                <w:szCs w:val="20"/>
                <w:color w:val="auto"/>
              </w:rPr>
            </w:pPr>
            <w:r>
              <w:rPr>
                <w:rFonts w:ascii="Courier New" w:cs="Courier New" w:eastAsia="Courier New" w:hAnsi="Courier New"/>
                <w:sz w:val="15"/>
                <w:szCs w:val="15"/>
                <w:color w:val="auto"/>
              </w:rPr>
              <w:t>CONTINGENCIES</w:t>
            </w:r>
          </w:p>
        </w:tc>
        <w:tc>
          <w:tcPr>
            <w:tcW w:w="2620" w:type="dxa"/>
            <w:vAlign w:val="bottom"/>
          </w:tcPr>
          <w:p>
            <w:pPr>
              <w:ind w:left="40"/>
              <w:spacing w:after="0"/>
              <w:rPr>
                <w:sz w:val="20"/>
                <w:szCs w:val="20"/>
                <w:color w:val="auto"/>
              </w:rPr>
            </w:pPr>
            <w:r>
              <w:rPr>
                <w:rFonts w:ascii="Courier New" w:cs="Courier New" w:eastAsia="Courier New" w:hAnsi="Courier New"/>
                <w:sz w:val="15"/>
                <w:szCs w:val="15"/>
                <w:color w:val="auto"/>
              </w:rPr>
              <w:t>(Note 8)</w:t>
            </w:r>
          </w:p>
        </w:tc>
        <w:tc>
          <w:tcPr>
            <w:tcW w:w="1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36"/>
        </w:trPr>
        <w:tc>
          <w:tcPr>
            <w:tcW w:w="3980" w:type="dxa"/>
            <w:vAlign w:val="bottom"/>
            <w:gridSpan w:val="2"/>
          </w:tcPr>
          <w:p>
            <w:pPr>
              <w:spacing w:after="0"/>
              <w:rPr>
                <w:sz w:val="20"/>
                <w:szCs w:val="20"/>
                <w:color w:val="auto"/>
              </w:rPr>
            </w:pPr>
            <w:r>
              <w:rPr>
                <w:rFonts w:ascii="Courier New" w:cs="Courier New" w:eastAsia="Courier New" w:hAnsi="Courier New"/>
                <w:sz w:val="15"/>
                <w:szCs w:val="15"/>
                <w:color w:val="auto"/>
              </w:rPr>
              <w:t>SHAREHOLDERS' INVESTMENT:</w:t>
            </w:r>
          </w:p>
        </w:tc>
        <w:tc>
          <w:tcPr>
            <w:tcW w:w="1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8"/>
        </w:trPr>
        <w:tc>
          <w:tcPr>
            <w:tcW w:w="398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Preferred stock, no par value,</w:t>
            </w:r>
          </w:p>
        </w:tc>
        <w:tc>
          <w:tcPr>
            <w:tcW w:w="1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980" w:type="dxa"/>
            <w:vAlign w:val="bottom"/>
            <w:gridSpan w:val="2"/>
          </w:tcPr>
          <w:p>
            <w:pPr>
              <w:ind w:left="880"/>
              <w:spacing w:after="0" w:line="168" w:lineRule="exact"/>
              <w:rPr>
                <w:sz w:val="20"/>
                <w:szCs w:val="20"/>
                <w:color w:val="auto"/>
              </w:rPr>
            </w:pPr>
            <w:r>
              <w:rPr>
                <w:rFonts w:ascii="Courier New" w:cs="Courier New" w:eastAsia="Courier New" w:hAnsi="Courier New"/>
                <w:sz w:val="15"/>
                <w:szCs w:val="15"/>
                <w:color w:val="auto"/>
              </w:rPr>
              <w:t>5,000,000 shares authorized; none</w:t>
            </w:r>
          </w:p>
        </w:tc>
        <w:tc>
          <w:tcPr>
            <w:tcW w:w="1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980" w:type="dxa"/>
            <w:vAlign w:val="bottom"/>
            <w:gridSpan w:val="2"/>
          </w:tcPr>
          <w:p>
            <w:pPr>
              <w:ind w:left="880"/>
              <w:spacing w:after="0" w:line="168" w:lineRule="exact"/>
              <w:rPr>
                <w:sz w:val="20"/>
                <w:szCs w:val="20"/>
                <w:color w:val="auto"/>
              </w:rPr>
            </w:pPr>
            <w:r>
              <w:rPr>
                <w:rFonts w:ascii="Courier New" w:cs="Courier New" w:eastAsia="Courier New" w:hAnsi="Courier New"/>
                <w:sz w:val="15"/>
                <w:szCs w:val="15"/>
                <w:color w:val="auto"/>
              </w:rPr>
              <w:t>issued or outstanding</w:t>
            </w:r>
          </w:p>
        </w:tc>
        <w:tc>
          <w:tcPr>
            <w:tcW w:w="13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Common stock, par value $.06 per share;</w:t>
            </w:r>
          </w:p>
        </w:tc>
        <w:tc>
          <w:tcPr>
            <w:tcW w:w="1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980" w:type="dxa"/>
            <w:vAlign w:val="bottom"/>
            <w:gridSpan w:val="2"/>
          </w:tcPr>
          <w:p>
            <w:pPr>
              <w:ind w:left="980"/>
              <w:spacing w:after="0" w:line="168" w:lineRule="exact"/>
              <w:rPr>
                <w:sz w:val="20"/>
                <w:szCs w:val="20"/>
                <w:color w:val="auto"/>
              </w:rPr>
            </w:pPr>
            <w:r>
              <w:rPr>
                <w:rFonts w:ascii="Courier New" w:cs="Courier New" w:eastAsia="Courier New" w:hAnsi="Courier New"/>
                <w:sz w:val="15"/>
                <w:szCs w:val="15"/>
                <w:color w:val="auto"/>
              </w:rPr>
              <w:t>50,000,000 shares authorized</w:t>
            </w:r>
          </w:p>
        </w:tc>
        <w:tc>
          <w:tcPr>
            <w:tcW w:w="13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2,123,949</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2,084,957</w:t>
            </w:r>
          </w:p>
        </w:tc>
      </w:tr>
      <w:tr>
        <w:trPr>
          <w:trHeight w:val="168"/>
        </w:trPr>
        <w:tc>
          <w:tcPr>
            <w:tcW w:w="398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Additional paid-in capital</w:t>
            </w:r>
          </w:p>
        </w:tc>
        <w:tc>
          <w:tcPr>
            <w:tcW w:w="13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53,654,663</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44,963,895</w:t>
            </w:r>
          </w:p>
        </w:tc>
      </w:tr>
      <w:tr>
        <w:trPr>
          <w:trHeight w:val="168"/>
        </w:trPr>
        <w:tc>
          <w:tcPr>
            <w:tcW w:w="398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Retained earnings</w:t>
            </w:r>
          </w:p>
        </w:tc>
        <w:tc>
          <w:tcPr>
            <w:tcW w:w="13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117,498,700</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82,268,476</w:t>
            </w:r>
          </w:p>
        </w:tc>
      </w:tr>
      <w:tr>
        <w:trPr>
          <w:trHeight w:val="168"/>
        </w:trPr>
        <w:tc>
          <w:tcPr>
            <w:tcW w:w="398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Deferred compensation</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(1,635,623)</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(1,804,104)</w:t>
            </w:r>
          </w:p>
        </w:tc>
      </w:tr>
      <w:tr>
        <w:trPr>
          <w:trHeight w:val="168"/>
        </w:trPr>
        <w:tc>
          <w:tcPr>
            <w:tcW w:w="398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Unrealized gain on investments</w:t>
            </w:r>
          </w:p>
        </w:tc>
        <w:tc>
          <w:tcPr>
            <w:tcW w:w="13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1,584,368</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290,887</w:t>
            </w:r>
          </w:p>
        </w:tc>
      </w:tr>
      <w:tr>
        <w:trPr>
          <w:trHeight w:val="168"/>
        </w:trPr>
        <w:tc>
          <w:tcPr>
            <w:tcW w:w="398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Cumulative translation adjustment</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(20,880)</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(470)</w:t>
            </w:r>
          </w:p>
        </w:tc>
      </w:tr>
      <w:tr>
        <w:trPr>
          <w:trHeight w:val="168"/>
        </w:trPr>
        <w:tc>
          <w:tcPr>
            <w:tcW w:w="13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3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gridSpan w:val="2"/>
          </w:tcPr>
          <w:p>
            <w:pPr>
              <w:ind w:left="1240"/>
              <w:spacing w:after="0" w:line="168" w:lineRule="exact"/>
              <w:rPr>
                <w:sz w:val="20"/>
                <w:szCs w:val="20"/>
                <w:color w:val="auto"/>
              </w:rPr>
            </w:pPr>
            <w:r>
              <w:rPr>
                <w:rFonts w:ascii="Courier New" w:cs="Courier New" w:eastAsia="Courier New" w:hAnsi="Courier New"/>
                <w:sz w:val="15"/>
                <w:szCs w:val="15"/>
                <w:color w:val="auto"/>
              </w:rPr>
              <w:t>Total shareholders' investment</w:t>
            </w:r>
          </w:p>
        </w:tc>
        <w:tc>
          <w:tcPr>
            <w:tcW w:w="13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173,205,177</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127,803,641</w:t>
            </w:r>
          </w:p>
        </w:tc>
      </w:tr>
      <w:tr>
        <w:trPr>
          <w:trHeight w:val="168"/>
        </w:trPr>
        <w:tc>
          <w:tcPr>
            <w:tcW w:w="13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3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3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$189,782,847</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$140,378,420</w:t>
            </w:r>
          </w:p>
        </w:tc>
      </w:tr>
      <w:tr>
        <w:trPr>
          <w:trHeight w:val="168"/>
        </w:trPr>
        <w:tc>
          <w:tcPr>
            <w:tcW w:w="13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3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4"/>
          <w:szCs w:val="14"/>
          <w:color w:val="auto"/>
        </w:rPr>
        <w:t>The accompanying notes are an integral part of these consolidated balance</w:t>
      </w:r>
    </w:p>
    <w:p>
      <w:pPr>
        <w:spacing w:after="0" w:line="3"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sheets.</w:t>
      </w:r>
    </w:p>
    <w:p>
      <w:pPr>
        <w:sectPr>
          <w:pgSz w:w="11900" w:h="16838" w:orient="portrait"/>
          <w:cols w:equalWidth="0" w:num="1">
            <w:col w:w="10239"/>
          </w:cols>
          <w:pgMar w:left="220" w:top="281" w:right="1440" w:bottom="0" w:gutter="0" w:footer="0" w:header="0"/>
        </w:sectPr>
      </w:pPr>
    </w:p>
    <w:bookmarkStart w:id="20" w:name="page21"/>
    <w:bookmarkEnd w:id="20"/>
    <w:p>
      <w:pPr>
        <w:ind w:left="202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9019"/>
          </w:cols>
          <w:pgMar w:left="1440" w:top="310" w:right="1440" w:bottom="1440" w:gutter="0" w:footer="0" w:header="0"/>
        </w:sectPr>
      </w:pPr>
    </w:p>
    <w:bookmarkStart w:id="21" w:name="page22"/>
    <w:bookmarkEnd w:id="21"/>
    <w:p>
      <w:pPr>
        <w:ind w:left="280"/>
        <w:spacing w:after="0"/>
        <w:rPr>
          <w:sz w:val="20"/>
          <w:szCs w:val="20"/>
          <w:color w:val="auto"/>
        </w:rPr>
      </w:pPr>
      <w:r>
        <w:rPr>
          <w:rFonts w:ascii="Courier New" w:cs="Courier New" w:eastAsia="Courier New" w:hAnsi="Courier New"/>
          <w:sz w:val="15"/>
          <w:szCs w:val="15"/>
          <w:color w:val="auto"/>
        </w:rPr>
        <w:t>20</w:t>
      </w:r>
    </w:p>
    <w:p>
      <w:pPr>
        <w:spacing w:after="0" w:line="166" w:lineRule="exact"/>
        <w:rPr>
          <w:sz w:val="20"/>
          <w:szCs w:val="20"/>
          <w:color w:val="auto"/>
        </w:rPr>
      </w:pPr>
    </w:p>
    <w:p>
      <w:pPr>
        <w:jc w:val="center"/>
        <w:ind w:right="4200"/>
        <w:spacing w:after="0"/>
        <w:rPr>
          <w:sz w:val="20"/>
          <w:szCs w:val="20"/>
          <w:color w:val="auto"/>
        </w:rPr>
      </w:pPr>
      <w:r>
        <w:rPr>
          <w:rFonts w:ascii="Courier New" w:cs="Courier New" w:eastAsia="Courier New" w:hAnsi="Courier New"/>
          <w:sz w:val="15"/>
          <w:szCs w:val="15"/>
          <w:color w:val="auto"/>
        </w:rPr>
        <w:t>GENTEX CORPORATION AND SUBSIDIARIES</w:t>
      </w:r>
    </w:p>
    <w:p>
      <w:pPr>
        <w:spacing w:after="0" w:line="166" w:lineRule="exact"/>
        <w:rPr>
          <w:sz w:val="20"/>
          <w:szCs w:val="20"/>
          <w:color w:val="auto"/>
        </w:rPr>
      </w:pPr>
    </w:p>
    <w:p>
      <w:pPr>
        <w:jc w:val="center"/>
        <w:ind w:right="4200"/>
        <w:spacing w:after="0"/>
        <w:rPr>
          <w:sz w:val="20"/>
          <w:szCs w:val="20"/>
          <w:color w:val="auto"/>
        </w:rPr>
      </w:pPr>
      <w:r>
        <w:rPr>
          <w:rFonts w:ascii="Courier New" w:cs="Courier New" w:eastAsia="Courier New" w:hAnsi="Courier New"/>
          <w:sz w:val="15"/>
          <w:szCs w:val="15"/>
          <w:color w:val="auto"/>
        </w:rPr>
        <w:t>CONSOLIDATED STATEMENTS OF INCOME</w:t>
      </w:r>
    </w:p>
    <w:p>
      <w:pPr>
        <w:spacing w:after="0" w:line="166"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FOR THE YEARS ENDED DECEMBER 31, 1997, 1996 AND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1997</w:t>
            </w:r>
          </w:p>
        </w:tc>
        <w:tc>
          <w:tcPr>
            <w:tcW w:w="700" w:type="dxa"/>
            <w:vAlign w:val="bottom"/>
          </w:tcPr>
          <w:p>
            <w:pPr>
              <w:spacing w:after="0"/>
              <w:rPr>
                <w:sz w:val="14"/>
                <w:szCs w:val="14"/>
                <w:color w:val="auto"/>
              </w:rPr>
            </w:pPr>
          </w:p>
        </w:tc>
        <w:tc>
          <w:tcPr>
            <w:tcW w:w="154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1996</w:t>
            </w:r>
          </w:p>
        </w:tc>
        <w:tc>
          <w:tcPr>
            <w:tcW w:w="740" w:type="dxa"/>
            <w:vAlign w:val="bottom"/>
          </w:tcPr>
          <w:p>
            <w:pPr>
              <w:spacing w:after="0"/>
              <w:rPr>
                <w:sz w:val="14"/>
                <w:szCs w:val="14"/>
                <w:color w:val="auto"/>
              </w:rPr>
            </w:pP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1995</w:t>
            </w:r>
          </w:p>
        </w:tc>
      </w:tr>
      <w:tr>
        <w:trPr>
          <w:trHeight w:val="168"/>
        </w:trPr>
        <w:tc>
          <w:tcPr>
            <w:tcW w:w="46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154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60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2620" w:type="dxa"/>
            <w:vAlign w:val="bottom"/>
            <w:gridSpan w:val="2"/>
          </w:tcPr>
          <w:p>
            <w:pPr>
              <w:jc w:val="right"/>
              <w:ind w:right="487"/>
              <w:spacing w:after="0"/>
              <w:rPr>
                <w:sz w:val="20"/>
                <w:szCs w:val="20"/>
                <w:color w:val="auto"/>
              </w:rPr>
            </w:pPr>
            <w:r>
              <w:rPr>
                <w:rFonts w:ascii="Courier New" w:cs="Courier New" w:eastAsia="Courier New" w:hAnsi="Courier New"/>
                <w:sz w:val="15"/>
                <w:szCs w:val="15"/>
                <w:color w:val="auto"/>
              </w:rPr>
              <w:t>$186,327,877</w:t>
            </w:r>
          </w:p>
        </w:tc>
        <w:tc>
          <w:tcPr>
            <w:tcW w:w="224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$148,708,218</w:t>
            </w:r>
          </w:p>
        </w:tc>
        <w:tc>
          <w:tcPr>
            <w:tcW w:w="1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$111,566,225</w:t>
            </w:r>
          </w:p>
        </w:tc>
      </w:tr>
      <w:tr>
        <w:trPr>
          <w:trHeight w:val="336"/>
        </w:trPr>
        <w:tc>
          <w:tcPr>
            <w:tcW w:w="4600" w:type="dxa"/>
            <w:vAlign w:val="bottom"/>
          </w:tcPr>
          <w:p>
            <w:pPr>
              <w:spacing w:after="0"/>
              <w:rPr>
                <w:sz w:val="20"/>
                <w:szCs w:val="20"/>
                <w:color w:val="auto"/>
              </w:rPr>
            </w:pPr>
            <w:r>
              <w:rPr>
                <w:rFonts w:ascii="Courier New" w:cs="Courier New" w:eastAsia="Courier New" w:hAnsi="Courier New"/>
                <w:sz w:val="15"/>
                <w:szCs w:val="15"/>
                <w:color w:val="auto"/>
              </w:rPr>
              <w:t>COST OF GOODS SOLD</w:t>
            </w:r>
          </w:p>
        </w:tc>
        <w:tc>
          <w:tcPr>
            <w:tcW w:w="2620" w:type="dxa"/>
            <w:vAlign w:val="bottom"/>
            <w:gridSpan w:val="2"/>
          </w:tcPr>
          <w:p>
            <w:pPr>
              <w:jc w:val="right"/>
              <w:ind w:right="487"/>
              <w:spacing w:after="0"/>
              <w:rPr>
                <w:sz w:val="20"/>
                <w:szCs w:val="20"/>
                <w:color w:val="auto"/>
              </w:rPr>
            </w:pPr>
            <w:r>
              <w:rPr>
                <w:rFonts w:ascii="Courier New" w:cs="Courier New" w:eastAsia="Courier New" w:hAnsi="Courier New"/>
                <w:sz w:val="15"/>
                <w:szCs w:val="15"/>
                <w:color w:val="auto"/>
              </w:rPr>
              <w:t>118,941,030</w:t>
            </w:r>
          </w:p>
        </w:tc>
        <w:tc>
          <w:tcPr>
            <w:tcW w:w="700" w:type="dxa"/>
            <w:vAlign w:val="bottom"/>
          </w:tcPr>
          <w:p>
            <w:pPr>
              <w:spacing w:after="0"/>
              <w:rPr>
                <w:sz w:val="24"/>
                <w:szCs w:val="24"/>
                <w:color w:val="auto"/>
              </w:rPr>
            </w:pPr>
          </w:p>
        </w:tc>
        <w:tc>
          <w:tcPr>
            <w:tcW w:w="154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9"/>
              </w:rPr>
              <w:t>93,582,756</w:t>
            </w:r>
          </w:p>
        </w:tc>
        <w:tc>
          <w:tcPr>
            <w:tcW w:w="7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9"/>
              </w:rPr>
              <w:t>67,767,347</w:t>
            </w:r>
          </w:p>
        </w:tc>
      </w:tr>
      <w:tr>
        <w:trPr>
          <w:trHeight w:val="168"/>
        </w:trPr>
        <w:tc>
          <w:tcPr>
            <w:tcW w:w="4600" w:type="dxa"/>
            <w:vAlign w:val="bottom"/>
          </w:tcPr>
          <w:p>
            <w:pPr>
              <w:spacing w:after="0"/>
              <w:rPr>
                <w:sz w:val="14"/>
                <w:szCs w:val="14"/>
                <w:color w:val="auto"/>
              </w:rPr>
            </w:pPr>
          </w:p>
        </w:tc>
        <w:tc>
          <w:tcPr>
            <w:tcW w:w="262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224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600" w:type="dxa"/>
            <w:vAlign w:val="bottom"/>
          </w:tcPr>
          <w:p>
            <w:pPr>
              <w:ind w:left="620"/>
              <w:spacing w:after="0"/>
              <w:rPr>
                <w:sz w:val="20"/>
                <w:szCs w:val="20"/>
                <w:color w:val="auto"/>
              </w:rPr>
            </w:pPr>
            <w:r>
              <w:rPr>
                <w:rFonts w:ascii="Courier New" w:cs="Courier New" w:eastAsia="Courier New" w:hAnsi="Courier New"/>
                <w:sz w:val="15"/>
                <w:szCs w:val="15"/>
                <w:color w:val="auto"/>
              </w:rPr>
              <w:t>Gross profit</w:t>
            </w:r>
          </w:p>
        </w:tc>
        <w:tc>
          <w:tcPr>
            <w:tcW w:w="1180" w:type="dxa"/>
            <w:vAlign w:val="bottom"/>
          </w:tcPr>
          <w:p>
            <w:pPr>
              <w:spacing w:after="0"/>
              <w:rPr>
                <w:sz w:val="24"/>
                <w:szCs w:val="24"/>
                <w:color w:val="auto"/>
              </w:rPr>
            </w:pPr>
          </w:p>
        </w:tc>
        <w:tc>
          <w:tcPr>
            <w:tcW w:w="1440" w:type="dxa"/>
            <w:vAlign w:val="bottom"/>
          </w:tcPr>
          <w:p>
            <w:pPr>
              <w:jc w:val="right"/>
              <w:ind w:right="487"/>
              <w:spacing w:after="0"/>
              <w:rPr>
                <w:sz w:val="20"/>
                <w:szCs w:val="20"/>
                <w:color w:val="auto"/>
              </w:rPr>
            </w:pPr>
            <w:r>
              <w:rPr>
                <w:rFonts w:ascii="Courier New" w:cs="Courier New" w:eastAsia="Courier New" w:hAnsi="Courier New"/>
                <w:sz w:val="15"/>
                <w:szCs w:val="15"/>
                <w:color w:val="auto"/>
                <w:w w:val="95"/>
              </w:rPr>
              <w:t>67,386,847</w:t>
            </w:r>
          </w:p>
        </w:tc>
        <w:tc>
          <w:tcPr>
            <w:tcW w:w="700" w:type="dxa"/>
            <w:vAlign w:val="bottom"/>
          </w:tcPr>
          <w:p>
            <w:pPr>
              <w:spacing w:after="0"/>
              <w:rPr>
                <w:sz w:val="24"/>
                <w:szCs w:val="24"/>
                <w:color w:val="auto"/>
              </w:rPr>
            </w:pPr>
          </w:p>
        </w:tc>
        <w:tc>
          <w:tcPr>
            <w:tcW w:w="154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9"/>
              </w:rPr>
              <w:t>55,125,462</w:t>
            </w:r>
          </w:p>
        </w:tc>
        <w:tc>
          <w:tcPr>
            <w:tcW w:w="7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9"/>
              </w:rPr>
              <w:t>43,798,878</w:t>
            </w:r>
          </w:p>
        </w:tc>
      </w:tr>
      <w:tr>
        <w:trPr>
          <w:trHeight w:val="336"/>
        </w:trPr>
        <w:tc>
          <w:tcPr>
            <w:tcW w:w="460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46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Research and development</w:t>
            </w:r>
          </w:p>
        </w:tc>
        <w:tc>
          <w:tcPr>
            <w:tcW w:w="1180" w:type="dxa"/>
            <w:vAlign w:val="bottom"/>
          </w:tcPr>
          <w:p>
            <w:pPr>
              <w:spacing w:after="0"/>
              <w:rPr>
                <w:sz w:val="14"/>
                <w:szCs w:val="14"/>
                <w:color w:val="auto"/>
              </w:rPr>
            </w:pPr>
          </w:p>
        </w:tc>
        <w:tc>
          <w:tcPr>
            <w:tcW w:w="14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9,079,472</w:t>
            </w:r>
          </w:p>
        </w:tc>
        <w:tc>
          <w:tcPr>
            <w:tcW w:w="700" w:type="dxa"/>
            <w:vAlign w:val="bottom"/>
          </w:tcPr>
          <w:p>
            <w:pPr>
              <w:spacing w:after="0"/>
              <w:rPr>
                <w:sz w:val="14"/>
                <w:szCs w:val="14"/>
                <w:color w:val="auto"/>
              </w:rPr>
            </w:pPr>
          </w:p>
        </w:tc>
        <w:tc>
          <w:tcPr>
            <w:tcW w:w="15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7,537,933</w:t>
            </w:r>
          </w:p>
        </w:tc>
        <w:tc>
          <w:tcPr>
            <w:tcW w:w="74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5,957,966</w:t>
            </w:r>
          </w:p>
        </w:tc>
      </w:tr>
      <w:tr>
        <w:trPr>
          <w:trHeight w:val="168"/>
        </w:trPr>
        <w:tc>
          <w:tcPr>
            <w:tcW w:w="46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Selling, general and administrative</w:t>
            </w:r>
          </w:p>
        </w:tc>
        <w:tc>
          <w:tcPr>
            <w:tcW w:w="1180" w:type="dxa"/>
            <w:vAlign w:val="bottom"/>
          </w:tcPr>
          <w:p>
            <w:pPr>
              <w:spacing w:after="0"/>
              <w:rPr>
                <w:sz w:val="14"/>
                <w:szCs w:val="14"/>
                <w:color w:val="auto"/>
              </w:rPr>
            </w:pPr>
          </w:p>
        </w:tc>
        <w:tc>
          <w:tcPr>
            <w:tcW w:w="14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w w:val="95"/>
              </w:rPr>
              <w:t>10,825,389</w:t>
            </w:r>
          </w:p>
        </w:tc>
        <w:tc>
          <w:tcPr>
            <w:tcW w:w="700" w:type="dxa"/>
            <w:vAlign w:val="bottom"/>
          </w:tcPr>
          <w:p>
            <w:pPr>
              <w:spacing w:after="0"/>
              <w:rPr>
                <w:sz w:val="14"/>
                <w:szCs w:val="14"/>
                <w:color w:val="auto"/>
              </w:rPr>
            </w:pPr>
          </w:p>
        </w:tc>
        <w:tc>
          <w:tcPr>
            <w:tcW w:w="15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99"/>
              </w:rPr>
              <w:t>11,747,961</w:t>
            </w:r>
          </w:p>
        </w:tc>
        <w:tc>
          <w:tcPr>
            <w:tcW w:w="74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12,878,790</w:t>
            </w:r>
          </w:p>
        </w:tc>
      </w:tr>
      <w:tr>
        <w:trPr>
          <w:trHeight w:val="168"/>
        </w:trPr>
        <w:tc>
          <w:tcPr>
            <w:tcW w:w="46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Patent settlement</w:t>
            </w:r>
          </w:p>
        </w:tc>
        <w:tc>
          <w:tcPr>
            <w:tcW w:w="1180" w:type="dxa"/>
            <w:vAlign w:val="bottom"/>
          </w:tcPr>
          <w:p>
            <w:pPr>
              <w:spacing w:after="0"/>
              <w:rPr>
                <w:sz w:val="14"/>
                <w:szCs w:val="14"/>
                <w:color w:val="auto"/>
              </w:rPr>
            </w:pPr>
          </w:p>
        </w:tc>
        <w:tc>
          <w:tcPr>
            <w:tcW w:w="14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15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4,000,000</w:t>
            </w:r>
          </w:p>
        </w:tc>
        <w:tc>
          <w:tcPr>
            <w:tcW w:w="74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00" w:type="dxa"/>
            <w:vAlign w:val="bottom"/>
          </w:tcPr>
          <w:p>
            <w:pPr>
              <w:spacing w:after="0"/>
              <w:rPr>
                <w:sz w:val="14"/>
                <w:szCs w:val="14"/>
                <w:color w:val="auto"/>
              </w:rPr>
            </w:pPr>
          </w:p>
        </w:tc>
        <w:tc>
          <w:tcPr>
            <w:tcW w:w="262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224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0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Total operating expenses</w:t>
            </w:r>
          </w:p>
        </w:tc>
        <w:tc>
          <w:tcPr>
            <w:tcW w:w="1180" w:type="dxa"/>
            <w:vAlign w:val="bottom"/>
          </w:tcPr>
          <w:p>
            <w:pPr>
              <w:spacing w:after="0"/>
              <w:rPr>
                <w:sz w:val="14"/>
                <w:szCs w:val="14"/>
                <w:color w:val="auto"/>
              </w:rPr>
            </w:pPr>
          </w:p>
        </w:tc>
        <w:tc>
          <w:tcPr>
            <w:tcW w:w="14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w w:val="95"/>
              </w:rPr>
              <w:t>19,904,861</w:t>
            </w:r>
          </w:p>
        </w:tc>
        <w:tc>
          <w:tcPr>
            <w:tcW w:w="700" w:type="dxa"/>
            <w:vAlign w:val="bottom"/>
          </w:tcPr>
          <w:p>
            <w:pPr>
              <w:spacing w:after="0"/>
              <w:rPr>
                <w:sz w:val="14"/>
                <w:szCs w:val="14"/>
                <w:color w:val="auto"/>
              </w:rPr>
            </w:pPr>
          </w:p>
        </w:tc>
        <w:tc>
          <w:tcPr>
            <w:tcW w:w="15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99"/>
              </w:rPr>
              <w:t>23,285,894</w:t>
            </w:r>
          </w:p>
        </w:tc>
        <w:tc>
          <w:tcPr>
            <w:tcW w:w="74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18,836,756</w:t>
            </w:r>
          </w:p>
        </w:tc>
      </w:tr>
      <w:tr>
        <w:trPr>
          <w:trHeight w:val="168"/>
        </w:trPr>
        <w:tc>
          <w:tcPr>
            <w:tcW w:w="4600" w:type="dxa"/>
            <w:vAlign w:val="bottom"/>
          </w:tcPr>
          <w:p>
            <w:pPr>
              <w:spacing w:after="0"/>
              <w:rPr>
                <w:sz w:val="14"/>
                <w:szCs w:val="14"/>
                <w:color w:val="auto"/>
              </w:rPr>
            </w:pPr>
          </w:p>
        </w:tc>
        <w:tc>
          <w:tcPr>
            <w:tcW w:w="262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224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600" w:type="dxa"/>
            <w:vAlign w:val="bottom"/>
          </w:tcPr>
          <w:p>
            <w:pPr>
              <w:ind w:left="540"/>
              <w:spacing w:after="0"/>
              <w:rPr>
                <w:sz w:val="20"/>
                <w:szCs w:val="20"/>
                <w:color w:val="auto"/>
              </w:rPr>
            </w:pPr>
            <w:r>
              <w:rPr>
                <w:rFonts w:ascii="Courier New" w:cs="Courier New" w:eastAsia="Courier New" w:hAnsi="Courier New"/>
                <w:sz w:val="15"/>
                <w:szCs w:val="15"/>
                <w:color w:val="auto"/>
              </w:rPr>
              <w:t>Operating income</w:t>
            </w:r>
          </w:p>
        </w:tc>
        <w:tc>
          <w:tcPr>
            <w:tcW w:w="1180" w:type="dxa"/>
            <w:vAlign w:val="bottom"/>
          </w:tcPr>
          <w:p>
            <w:pPr>
              <w:spacing w:after="0"/>
              <w:rPr>
                <w:sz w:val="24"/>
                <w:szCs w:val="24"/>
                <w:color w:val="auto"/>
              </w:rPr>
            </w:pPr>
          </w:p>
        </w:tc>
        <w:tc>
          <w:tcPr>
            <w:tcW w:w="1440" w:type="dxa"/>
            <w:vAlign w:val="bottom"/>
          </w:tcPr>
          <w:p>
            <w:pPr>
              <w:jc w:val="right"/>
              <w:ind w:right="487"/>
              <w:spacing w:after="0"/>
              <w:rPr>
                <w:sz w:val="20"/>
                <w:szCs w:val="20"/>
                <w:color w:val="auto"/>
              </w:rPr>
            </w:pPr>
            <w:r>
              <w:rPr>
                <w:rFonts w:ascii="Courier New" w:cs="Courier New" w:eastAsia="Courier New" w:hAnsi="Courier New"/>
                <w:sz w:val="15"/>
                <w:szCs w:val="15"/>
                <w:color w:val="auto"/>
                <w:w w:val="95"/>
              </w:rPr>
              <w:t>47,481,986</w:t>
            </w:r>
          </w:p>
        </w:tc>
        <w:tc>
          <w:tcPr>
            <w:tcW w:w="700" w:type="dxa"/>
            <w:vAlign w:val="bottom"/>
          </w:tcPr>
          <w:p>
            <w:pPr>
              <w:spacing w:after="0"/>
              <w:rPr>
                <w:sz w:val="24"/>
                <w:szCs w:val="24"/>
                <w:color w:val="auto"/>
              </w:rPr>
            </w:pPr>
          </w:p>
        </w:tc>
        <w:tc>
          <w:tcPr>
            <w:tcW w:w="154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9"/>
              </w:rPr>
              <w:t>31,839,568</w:t>
            </w:r>
          </w:p>
        </w:tc>
        <w:tc>
          <w:tcPr>
            <w:tcW w:w="7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9"/>
              </w:rPr>
              <w:t>24,962,122</w:t>
            </w:r>
          </w:p>
        </w:tc>
      </w:tr>
      <w:tr>
        <w:trPr>
          <w:trHeight w:val="336"/>
        </w:trPr>
        <w:tc>
          <w:tcPr>
            <w:tcW w:w="4600" w:type="dxa"/>
            <w:vAlign w:val="bottom"/>
          </w:tcPr>
          <w:p>
            <w:pPr>
              <w:spacing w:after="0"/>
              <w:rPr>
                <w:sz w:val="20"/>
                <w:szCs w:val="20"/>
                <w:color w:val="auto"/>
              </w:rPr>
            </w:pPr>
            <w:r>
              <w:rPr>
                <w:rFonts w:ascii="Courier New" w:cs="Courier New" w:eastAsia="Courier New" w:hAnsi="Courier New"/>
                <w:sz w:val="15"/>
                <w:szCs w:val="15"/>
                <w:color w:val="auto"/>
              </w:rPr>
              <w:t>OTHER INCOME:</w:t>
            </w:r>
          </w:p>
        </w:tc>
        <w:tc>
          <w:tcPr>
            <w:tcW w:w="1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46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Interest and dividend income</w:t>
            </w:r>
          </w:p>
        </w:tc>
        <w:tc>
          <w:tcPr>
            <w:tcW w:w="1180" w:type="dxa"/>
            <w:vAlign w:val="bottom"/>
          </w:tcPr>
          <w:p>
            <w:pPr>
              <w:spacing w:after="0"/>
              <w:rPr>
                <w:sz w:val="14"/>
                <w:szCs w:val="14"/>
                <w:color w:val="auto"/>
              </w:rPr>
            </w:pPr>
          </w:p>
        </w:tc>
        <w:tc>
          <w:tcPr>
            <w:tcW w:w="14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4,405,565</w:t>
            </w:r>
          </w:p>
        </w:tc>
        <w:tc>
          <w:tcPr>
            <w:tcW w:w="700" w:type="dxa"/>
            <w:vAlign w:val="bottom"/>
          </w:tcPr>
          <w:p>
            <w:pPr>
              <w:spacing w:after="0"/>
              <w:rPr>
                <w:sz w:val="14"/>
                <w:szCs w:val="14"/>
                <w:color w:val="auto"/>
              </w:rPr>
            </w:pPr>
          </w:p>
        </w:tc>
        <w:tc>
          <w:tcPr>
            <w:tcW w:w="15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3,437,040</w:t>
            </w:r>
          </w:p>
        </w:tc>
        <w:tc>
          <w:tcPr>
            <w:tcW w:w="74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2,863,730</w:t>
            </w:r>
          </w:p>
        </w:tc>
      </w:tr>
      <w:tr>
        <w:trPr>
          <w:trHeight w:val="168"/>
        </w:trPr>
        <w:tc>
          <w:tcPr>
            <w:tcW w:w="46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Other, net</w:t>
            </w:r>
          </w:p>
        </w:tc>
        <w:tc>
          <w:tcPr>
            <w:tcW w:w="1180" w:type="dxa"/>
            <w:vAlign w:val="bottom"/>
          </w:tcPr>
          <w:p>
            <w:pPr>
              <w:spacing w:after="0"/>
              <w:rPr>
                <w:sz w:val="14"/>
                <w:szCs w:val="14"/>
                <w:color w:val="auto"/>
              </w:rPr>
            </w:pPr>
          </w:p>
        </w:tc>
        <w:tc>
          <w:tcPr>
            <w:tcW w:w="14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301,673</w:t>
            </w:r>
          </w:p>
        </w:tc>
        <w:tc>
          <w:tcPr>
            <w:tcW w:w="700" w:type="dxa"/>
            <w:vAlign w:val="bottom"/>
          </w:tcPr>
          <w:p>
            <w:pPr>
              <w:spacing w:after="0"/>
              <w:rPr>
                <w:sz w:val="14"/>
                <w:szCs w:val="14"/>
                <w:color w:val="auto"/>
              </w:rPr>
            </w:pPr>
          </w:p>
        </w:tc>
        <w:tc>
          <w:tcPr>
            <w:tcW w:w="15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205,787</w:t>
            </w:r>
          </w:p>
        </w:tc>
        <w:tc>
          <w:tcPr>
            <w:tcW w:w="74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105,291</w:t>
            </w:r>
          </w:p>
        </w:tc>
      </w:tr>
      <w:tr>
        <w:trPr>
          <w:trHeight w:val="168"/>
        </w:trPr>
        <w:tc>
          <w:tcPr>
            <w:tcW w:w="4600" w:type="dxa"/>
            <w:vAlign w:val="bottom"/>
          </w:tcPr>
          <w:p>
            <w:pPr>
              <w:spacing w:after="0"/>
              <w:rPr>
                <w:sz w:val="14"/>
                <w:szCs w:val="14"/>
                <w:color w:val="auto"/>
              </w:rPr>
            </w:pPr>
          </w:p>
        </w:tc>
        <w:tc>
          <w:tcPr>
            <w:tcW w:w="262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224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600" w:type="dxa"/>
            <w:vAlign w:val="bottom"/>
          </w:tcPr>
          <w:p>
            <w:pPr>
              <w:ind w:left="880"/>
              <w:spacing w:after="0"/>
              <w:rPr>
                <w:sz w:val="20"/>
                <w:szCs w:val="20"/>
                <w:color w:val="auto"/>
              </w:rPr>
            </w:pPr>
            <w:r>
              <w:rPr>
                <w:rFonts w:ascii="Courier New" w:cs="Courier New" w:eastAsia="Courier New" w:hAnsi="Courier New"/>
                <w:sz w:val="15"/>
                <w:szCs w:val="15"/>
                <w:color w:val="auto"/>
              </w:rPr>
              <w:t>Total other income</w:t>
            </w:r>
          </w:p>
        </w:tc>
        <w:tc>
          <w:tcPr>
            <w:tcW w:w="1180" w:type="dxa"/>
            <w:vAlign w:val="bottom"/>
          </w:tcPr>
          <w:p>
            <w:pPr>
              <w:spacing w:after="0"/>
              <w:rPr>
                <w:sz w:val="24"/>
                <w:szCs w:val="24"/>
                <w:color w:val="auto"/>
              </w:rPr>
            </w:pPr>
          </w:p>
        </w:tc>
        <w:tc>
          <w:tcPr>
            <w:tcW w:w="14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4,707,238</w:t>
            </w:r>
          </w:p>
        </w:tc>
        <w:tc>
          <w:tcPr>
            <w:tcW w:w="700" w:type="dxa"/>
            <w:vAlign w:val="bottom"/>
          </w:tcPr>
          <w:p>
            <w:pPr>
              <w:spacing w:after="0"/>
              <w:rPr>
                <w:sz w:val="24"/>
                <w:szCs w:val="24"/>
                <w:color w:val="auto"/>
              </w:rPr>
            </w:pPr>
          </w:p>
        </w:tc>
        <w:tc>
          <w:tcPr>
            <w:tcW w:w="15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3,642,827</w:t>
            </w:r>
          </w:p>
        </w:tc>
        <w:tc>
          <w:tcPr>
            <w:tcW w:w="7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2,969,021</w:t>
            </w:r>
          </w:p>
        </w:tc>
      </w:tr>
      <w:tr>
        <w:trPr>
          <w:trHeight w:val="168"/>
        </w:trPr>
        <w:tc>
          <w:tcPr>
            <w:tcW w:w="4600" w:type="dxa"/>
            <w:vAlign w:val="bottom"/>
          </w:tcPr>
          <w:p>
            <w:pPr>
              <w:spacing w:after="0"/>
              <w:rPr>
                <w:sz w:val="14"/>
                <w:szCs w:val="14"/>
                <w:color w:val="auto"/>
              </w:rPr>
            </w:pPr>
          </w:p>
        </w:tc>
        <w:tc>
          <w:tcPr>
            <w:tcW w:w="262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224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Income before provision</w:t>
            </w:r>
          </w:p>
        </w:tc>
        <w:tc>
          <w:tcPr>
            <w:tcW w:w="1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6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for federal income taxes</w:t>
            </w:r>
          </w:p>
        </w:tc>
        <w:tc>
          <w:tcPr>
            <w:tcW w:w="1180" w:type="dxa"/>
            <w:vAlign w:val="bottom"/>
          </w:tcPr>
          <w:p>
            <w:pPr>
              <w:spacing w:after="0"/>
              <w:rPr>
                <w:sz w:val="14"/>
                <w:szCs w:val="14"/>
                <w:color w:val="auto"/>
              </w:rPr>
            </w:pPr>
          </w:p>
        </w:tc>
        <w:tc>
          <w:tcPr>
            <w:tcW w:w="14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w w:val="95"/>
              </w:rPr>
              <w:t>52,189,224</w:t>
            </w:r>
          </w:p>
        </w:tc>
        <w:tc>
          <w:tcPr>
            <w:tcW w:w="700" w:type="dxa"/>
            <w:vAlign w:val="bottom"/>
          </w:tcPr>
          <w:p>
            <w:pPr>
              <w:spacing w:after="0"/>
              <w:rPr>
                <w:sz w:val="14"/>
                <w:szCs w:val="14"/>
                <w:color w:val="auto"/>
              </w:rPr>
            </w:pPr>
          </w:p>
        </w:tc>
        <w:tc>
          <w:tcPr>
            <w:tcW w:w="15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99"/>
              </w:rPr>
              <w:t>35,482,395</w:t>
            </w:r>
          </w:p>
        </w:tc>
        <w:tc>
          <w:tcPr>
            <w:tcW w:w="74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27,931,143</w:t>
            </w:r>
          </w:p>
        </w:tc>
      </w:tr>
      <w:tr>
        <w:trPr>
          <w:trHeight w:val="336"/>
        </w:trPr>
        <w:tc>
          <w:tcPr>
            <w:tcW w:w="4600" w:type="dxa"/>
            <w:vAlign w:val="bottom"/>
          </w:tcPr>
          <w:p>
            <w:pPr>
              <w:spacing w:after="0"/>
              <w:rPr>
                <w:sz w:val="20"/>
                <w:szCs w:val="20"/>
                <w:color w:val="auto"/>
              </w:rPr>
            </w:pPr>
            <w:r>
              <w:rPr>
                <w:rFonts w:ascii="Courier New" w:cs="Courier New" w:eastAsia="Courier New" w:hAnsi="Courier New"/>
                <w:sz w:val="15"/>
                <w:szCs w:val="15"/>
                <w:color w:val="auto"/>
              </w:rPr>
              <w:t>PROVISION FOR FEDERAL INCOME TAXES</w:t>
            </w:r>
          </w:p>
        </w:tc>
        <w:tc>
          <w:tcPr>
            <w:tcW w:w="1180" w:type="dxa"/>
            <w:vAlign w:val="bottom"/>
          </w:tcPr>
          <w:p>
            <w:pPr>
              <w:spacing w:after="0"/>
              <w:rPr>
                <w:sz w:val="24"/>
                <w:szCs w:val="24"/>
                <w:color w:val="auto"/>
              </w:rPr>
            </w:pPr>
          </w:p>
        </w:tc>
        <w:tc>
          <w:tcPr>
            <w:tcW w:w="1440" w:type="dxa"/>
            <w:vAlign w:val="bottom"/>
          </w:tcPr>
          <w:p>
            <w:pPr>
              <w:jc w:val="right"/>
              <w:ind w:right="487"/>
              <w:spacing w:after="0"/>
              <w:rPr>
                <w:sz w:val="20"/>
                <w:szCs w:val="20"/>
                <w:color w:val="auto"/>
              </w:rPr>
            </w:pPr>
            <w:r>
              <w:rPr>
                <w:rFonts w:ascii="Courier New" w:cs="Courier New" w:eastAsia="Courier New" w:hAnsi="Courier New"/>
                <w:sz w:val="15"/>
                <w:szCs w:val="15"/>
                <w:color w:val="auto"/>
                <w:w w:val="95"/>
              </w:rPr>
              <w:t>16,959,000</w:t>
            </w:r>
          </w:p>
        </w:tc>
        <w:tc>
          <w:tcPr>
            <w:tcW w:w="700" w:type="dxa"/>
            <w:vAlign w:val="bottom"/>
          </w:tcPr>
          <w:p>
            <w:pPr>
              <w:spacing w:after="0"/>
              <w:rPr>
                <w:sz w:val="24"/>
                <w:szCs w:val="24"/>
                <w:color w:val="auto"/>
              </w:rPr>
            </w:pPr>
          </w:p>
        </w:tc>
        <w:tc>
          <w:tcPr>
            <w:tcW w:w="154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9"/>
              </w:rPr>
              <w:t>11,519,000</w:t>
            </w:r>
          </w:p>
        </w:tc>
        <w:tc>
          <w:tcPr>
            <w:tcW w:w="7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9,036,000</w:t>
            </w:r>
          </w:p>
        </w:tc>
      </w:tr>
      <w:tr>
        <w:trPr>
          <w:trHeight w:val="168"/>
        </w:trPr>
        <w:tc>
          <w:tcPr>
            <w:tcW w:w="4600" w:type="dxa"/>
            <w:vAlign w:val="bottom"/>
          </w:tcPr>
          <w:p>
            <w:pPr>
              <w:spacing w:after="0"/>
              <w:rPr>
                <w:sz w:val="14"/>
                <w:szCs w:val="14"/>
                <w:color w:val="auto"/>
              </w:rPr>
            </w:pPr>
          </w:p>
        </w:tc>
        <w:tc>
          <w:tcPr>
            <w:tcW w:w="262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224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6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2620" w:type="dxa"/>
            <w:vAlign w:val="bottom"/>
            <w:gridSpan w:val="2"/>
          </w:tcPr>
          <w:p>
            <w:pPr>
              <w:jc w:val="right"/>
              <w:ind w:right="487"/>
              <w:spacing w:after="0"/>
              <w:rPr>
                <w:sz w:val="20"/>
                <w:szCs w:val="20"/>
                <w:color w:val="auto"/>
              </w:rPr>
            </w:pPr>
            <w:r>
              <w:rPr>
                <w:rFonts w:ascii="Courier New" w:cs="Courier New" w:eastAsia="Courier New" w:hAnsi="Courier New"/>
                <w:sz w:val="15"/>
                <w:szCs w:val="15"/>
                <w:color w:val="auto"/>
              </w:rPr>
              <w:t>$35,230,224</w:t>
            </w:r>
          </w:p>
        </w:tc>
        <w:tc>
          <w:tcPr>
            <w:tcW w:w="224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$ 23,963,395</w:t>
            </w:r>
          </w:p>
        </w:tc>
        <w:tc>
          <w:tcPr>
            <w:tcW w:w="1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$ 18,895,143</w:t>
            </w:r>
          </w:p>
        </w:tc>
      </w:tr>
      <w:tr>
        <w:trPr>
          <w:trHeight w:val="168"/>
        </w:trPr>
        <w:tc>
          <w:tcPr>
            <w:tcW w:w="4600" w:type="dxa"/>
            <w:vAlign w:val="bottom"/>
          </w:tcPr>
          <w:p>
            <w:pPr>
              <w:spacing w:after="0"/>
              <w:rPr>
                <w:sz w:val="14"/>
                <w:szCs w:val="14"/>
                <w:color w:val="auto"/>
              </w:rPr>
            </w:pPr>
          </w:p>
        </w:tc>
        <w:tc>
          <w:tcPr>
            <w:tcW w:w="262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224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PER SHARE:</w:t>
            </w:r>
          </w:p>
        </w:tc>
        <w:tc>
          <w:tcPr>
            <w:tcW w:w="1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Basic</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1.01</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0.70</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0.57</w:t>
            </w:r>
          </w:p>
        </w:tc>
      </w:tr>
      <w:tr>
        <w:trPr>
          <w:trHeight w:val="168"/>
        </w:trPr>
        <w:tc>
          <w:tcPr>
            <w:tcW w:w="4600" w:type="dxa"/>
            <w:vAlign w:val="bottom"/>
          </w:tcPr>
          <w:p>
            <w:pPr>
              <w:spacing w:after="0"/>
              <w:rPr>
                <w:sz w:val="14"/>
                <w:szCs w:val="14"/>
                <w:color w:val="auto"/>
              </w:rPr>
            </w:pPr>
          </w:p>
        </w:tc>
        <w:tc>
          <w:tcPr>
            <w:tcW w:w="262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224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Diluted</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0.98</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0.67</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0.55</w:t>
            </w:r>
          </w:p>
        </w:tc>
      </w:tr>
      <w:tr>
        <w:trPr>
          <w:trHeight w:val="168"/>
        </w:trPr>
        <w:tc>
          <w:tcPr>
            <w:tcW w:w="4600" w:type="dxa"/>
            <w:vAlign w:val="bottom"/>
          </w:tcPr>
          <w:p>
            <w:pPr>
              <w:spacing w:after="0"/>
              <w:rPr>
                <w:sz w:val="14"/>
                <w:szCs w:val="14"/>
                <w:color w:val="auto"/>
              </w:rPr>
            </w:pPr>
          </w:p>
        </w:tc>
        <w:tc>
          <w:tcPr>
            <w:tcW w:w="262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224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4200"/>
        <w:spacing w:after="0"/>
        <w:rPr>
          <w:sz w:val="20"/>
          <w:szCs w:val="20"/>
          <w:color w:val="auto"/>
        </w:rPr>
      </w:pPr>
      <w:r>
        <w:rPr>
          <w:rFonts w:ascii="Courier New" w:cs="Courier New" w:eastAsia="Courier New" w:hAnsi="Courier New"/>
          <w:sz w:val="15"/>
          <w:szCs w:val="15"/>
          <w:color w:val="auto"/>
        </w:rPr>
        <w:t>The accompanying notes are an integral part of these consolidated financial</w:t>
      </w:r>
    </w:p>
    <w:p>
      <w:pPr>
        <w:jc w:val="center"/>
        <w:ind w:right="4200"/>
        <w:spacing w:after="0" w:line="237" w:lineRule="auto"/>
        <w:rPr>
          <w:sz w:val="20"/>
          <w:szCs w:val="20"/>
          <w:color w:val="auto"/>
        </w:rPr>
      </w:pPr>
      <w:r>
        <w:rPr>
          <w:rFonts w:ascii="Courier New" w:cs="Courier New" w:eastAsia="Courier New" w:hAnsi="Courier New"/>
          <w:sz w:val="15"/>
          <w:szCs w:val="15"/>
          <w:color w:val="auto"/>
        </w:rPr>
        <w:t>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1120"/>
          </w:cols>
          <w:pgMar w:left="220" w:top="281" w:right="559" w:bottom="1440" w:gutter="0" w:footer="0" w:header="0"/>
        </w:sectPr>
      </w:pPr>
    </w:p>
    <w:bookmarkStart w:id="22" w:name="page23"/>
    <w:bookmarkEnd w:id="22"/>
    <w:p>
      <w:pPr>
        <w:ind w:left="280"/>
        <w:spacing w:after="0"/>
        <w:rPr>
          <w:sz w:val="20"/>
          <w:szCs w:val="20"/>
          <w:color w:val="auto"/>
        </w:rPr>
      </w:pPr>
      <w:r>
        <w:rPr>
          <w:rFonts w:ascii="Courier New" w:cs="Courier New" w:eastAsia="Courier New" w:hAnsi="Courier New"/>
          <w:sz w:val="15"/>
          <w:szCs w:val="15"/>
          <w:color w:val="auto"/>
        </w:rPr>
        <w:t>21</w:t>
      </w:r>
    </w:p>
    <w:p>
      <w:pPr>
        <w:jc w:val="center"/>
        <w:ind w:right="3479"/>
        <w:spacing w:after="0" w:line="237" w:lineRule="auto"/>
        <w:rPr>
          <w:sz w:val="20"/>
          <w:szCs w:val="20"/>
          <w:color w:val="auto"/>
        </w:rPr>
      </w:pPr>
      <w:r>
        <w:rPr>
          <w:rFonts w:ascii="Courier New" w:cs="Courier New" w:eastAsia="Courier New" w:hAnsi="Courier New"/>
          <w:sz w:val="15"/>
          <w:szCs w:val="15"/>
          <w:color w:val="auto"/>
        </w:rPr>
        <w:t>GENTEX CORPORATION AND SUBSIDIARIES</w:t>
      </w:r>
    </w:p>
    <w:p>
      <w:pPr>
        <w:spacing w:after="0" w:line="167"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CONSOLIDATED STATEMENTS OF SHAREHOLDERS' INVESTMENT</w:t>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FOR THE YEARS ENDED DECEMBER 31, 1997, 1996 AND 1995</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8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Additional</w:t>
            </w:r>
          </w:p>
        </w:tc>
        <w:tc>
          <w:tcPr>
            <w:tcW w:w="1260" w:type="dxa"/>
            <w:vAlign w:val="bottom"/>
          </w:tcPr>
          <w:p>
            <w:pPr>
              <w:spacing w:after="0"/>
              <w:rPr>
                <w:sz w:val="14"/>
                <w:szCs w:val="14"/>
                <w:color w:val="auto"/>
              </w:rPr>
            </w:pPr>
          </w:p>
        </w:tc>
      </w:tr>
      <w:tr>
        <w:trPr>
          <w:trHeight w:val="168"/>
        </w:trPr>
        <w:tc>
          <w:tcPr>
            <w:tcW w:w="4340" w:type="dxa"/>
            <w:vAlign w:val="bottom"/>
          </w:tcPr>
          <w:p>
            <w:pPr>
              <w:spacing w:after="0"/>
              <w:rPr>
                <w:sz w:val="14"/>
                <w:szCs w:val="14"/>
                <w:color w:val="auto"/>
              </w:rPr>
            </w:pPr>
          </w:p>
        </w:tc>
        <w:tc>
          <w:tcPr>
            <w:tcW w:w="2720" w:type="dxa"/>
            <w:vAlign w:val="bottom"/>
            <w:gridSpan w:val="3"/>
          </w:tcPr>
          <w:p>
            <w:pPr>
              <w:jc w:val="right"/>
              <w:ind w:right="687"/>
              <w:spacing w:after="0" w:line="168" w:lineRule="exact"/>
              <w:rPr>
                <w:sz w:val="20"/>
                <w:szCs w:val="20"/>
                <w:color w:val="auto"/>
              </w:rPr>
            </w:pPr>
            <w:r>
              <w:rPr>
                <w:rFonts w:ascii="Courier New" w:cs="Courier New" w:eastAsia="Courier New" w:hAnsi="Courier New"/>
                <w:sz w:val="15"/>
                <w:szCs w:val="15"/>
                <w:color w:val="auto"/>
              </w:rPr>
              <w:t>Common Stock</w:t>
            </w:r>
          </w:p>
        </w:tc>
        <w:tc>
          <w:tcPr>
            <w:tcW w:w="260" w:type="dxa"/>
            <w:vAlign w:val="bottom"/>
          </w:tcPr>
          <w:p>
            <w:pPr>
              <w:spacing w:after="0"/>
              <w:rPr>
                <w:sz w:val="14"/>
                <w:szCs w:val="14"/>
                <w:color w:val="auto"/>
              </w:rPr>
            </w:pPr>
          </w:p>
        </w:tc>
        <w:tc>
          <w:tcPr>
            <w:tcW w:w="12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w w:val="98"/>
              </w:rPr>
              <w:t>Paid-In</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Retained</w:t>
            </w:r>
          </w:p>
        </w:tc>
      </w:tr>
      <w:tr>
        <w:trPr>
          <w:trHeight w:val="168"/>
        </w:trPr>
        <w:tc>
          <w:tcPr>
            <w:tcW w:w="4340" w:type="dxa"/>
            <w:vAlign w:val="bottom"/>
          </w:tcPr>
          <w:p>
            <w:pPr>
              <w:spacing w:after="0"/>
              <w:rPr>
                <w:sz w:val="14"/>
                <w:szCs w:val="14"/>
                <w:color w:val="auto"/>
              </w:rPr>
            </w:pP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Shares</w:t>
            </w:r>
          </w:p>
        </w:tc>
        <w:tc>
          <w:tcPr>
            <w:tcW w:w="340" w:type="dxa"/>
            <w:vAlign w:val="bottom"/>
          </w:tcPr>
          <w:p>
            <w:pPr>
              <w:spacing w:after="0"/>
              <w:rPr>
                <w:sz w:val="14"/>
                <w:szCs w:val="14"/>
                <w:color w:val="auto"/>
              </w:rPr>
            </w:pP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Amount</w:t>
            </w:r>
          </w:p>
        </w:tc>
        <w:tc>
          <w:tcPr>
            <w:tcW w:w="260" w:type="dxa"/>
            <w:vAlign w:val="bottom"/>
          </w:tcPr>
          <w:p>
            <w:pPr>
              <w:spacing w:after="0"/>
              <w:rPr>
                <w:sz w:val="14"/>
                <w:szCs w:val="14"/>
                <w:color w:val="auto"/>
              </w:rPr>
            </w:pPr>
          </w:p>
        </w:tc>
        <w:tc>
          <w:tcPr>
            <w:tcW w:w="12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w w:val="98"/>
              </w:rPr>
              <w:t>Capital</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Earnings</w:t>
            </w:r>
          </w:p>
        </w:tc>
      </w:tr>
      <w:tr>
        <w:trPr>
          <w:trHeight w:val="168"/>
        </w:trPr>
        <w:tc>
          <w:tcPr>
            <w:tcW w:w="4340" w:type="dxa"/>
            <w:vAlign w:val="bottom"/>
          </w:tcPr>
          <w:p>
            <w:pPr>
              <w:spacing w:after="0"/>
              <w:rPr>
                <w:sz w:val="14"/>
                <w:szCs w:val="14"/>
                <w:color w:val="auto"/>
              </w:rPr>
            </w:pP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2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w w:val="98"/>
              </w:rPr>
              <w:t>-------</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340" w:type="dxa"/>
            <w:vAlign w:val="bottom"/>
          </w:tcPr>
          <w:p>
            <w:pPr>
              <w:jc w:val="right"/>
              <w:ind w:right="1547"/>
              <w:spacing w:after="0"/>
              <w:rPr>
                <w:sz w:val="20"/>
                <w:szCs w:val="20"/>
                <w:color w:val="auto"/>
              </w:rPr>
            </w:pPr>
            <w:r>
              <w:rPr>
                <w:rFonts w:ascii="Courier New" w:cs="Courier New" w:eastAsia="Courier New" w:hAnsi="Courier New"/>
                <w:sz w:val="15"/>
                <w:szCs w:val="15"/>
                <w:color w:val="auto"/>
                <w:w w:val="96"/>
              </w:rPr>
              <w:t>BALANCE AS OF DECEMBER 31, 1994</w:t>
            </w: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16,509,476</w:t>
            </w:r>
          </w:p>
        </w:tc>
        <w:tc>
          <w:tcPr>
            <w:tcW w:w="3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990,569</w:t>
            </w:r>
          </w:p>
        </w:tc>
        <w:tc>
          <w:tcPr>
            <w:tcW w:w="26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31,875,455</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  39,409,938</w:t>
            </w:r>
          </w:p>
        </w:tc>
      </w:tr>
      <w:tr>
        <w:trPr>
          <w:trHeight w:val="336"/>
        </w:trPr>
        <w:tc>
          <w:tcPr>
            <w:tcW w:w="4340" w:type="dxa"/>
            <w:vAlign w:val="bottom"/>
          </w:tcPr>
          <w:p>
            <w:pPr>
              <w:ind w:left="180"/>
              <w:spacing w:after="0"/>
              <w:rPr>
                <w:sz w:val="20"/>
                <w:szCs w:val="20"/>
                <w:color w:val="auto"/>
              </w:rPr>
            </w:pPr>
            <w:r>
              <w:rPr>
                <w:rFonts w:ascii="Courier New" w:cs="Courier New" w:eastAsia="Courier New" w:hAnsi="Courier New"/>
                <w:sz w:val="15"/>
                <w:szCs w:val="15"/>
                <w:color w:val="auto"/>
              </w:rPr>
              <w:t>Issuance of common stock and the tax benefit</w:t>
            </w:r>
          </w:p>
        </w:tc>
        <w:tc>
          <w:tcPr>
            <w:tcW w:w="1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8"/>
        </w:trPr>
        <w:tc>
          <w:tcPr>
            <w:tcW w:w="4340" w:type="dxa"/>
            <w:vAlign w:val="bottom"/>
          </w:tcPr>
          <w:p>
            <w:pPr>
              <w:jc w:val="right"/>
              <w:ind w:right="1547"/>
              <w:spacing w:after="0" w:line="168" w:lineRule="exact"/>
              <w:rPr>
                <w:sz w:val="20"/>
                <w:szCs w:val="20"/>
                <w:color w:val="auto"/>
              </w:rPr>
            </w:pPr>
            <w:r>
              <w:rPr>
                <w:rFonts w:ascii="Courier New" w:cs="Courier New" w:eastAsia="Courier New" w:hAnsi="Courier New"/>
                <w:sz w:val="15"/>
                <w:szCs w:val="15"/>
                <w:color w:val="auto"/>
              </w:rPr>
              <w:t>of stock plan transactions</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386,383</w:t>
            </w:r>
          </w:p>
        </w:tc>
        <w:tc>
          <w:tcPr>
            <w:tcW w:w="340" w:type="dxa"/>
            <w:vAlign w:val="bottom"/>
          </w:tcPr>
          <w:p>
            <w:pPr>
              <w:spacing w:after="0"/>
              <w:rPr>
                <w:sz w:val="14"/>
                <w:szCs w:val="14"/>
                <w:color w:val="auto"/>
              </w:rPr>
            </w:pPr>
          </w:p>
        </w:tc>
        <w:tc>
          <w:tcPr>
            <w:tcW w:w="106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6"/>
              </w:rPr>
              <w:t>23,183</w:t>
            </w:r>
          </w:p>
        </w:tc>
        <w:tc>
          <w:tcPr>
            <w:tcW w:w="260" w:type="dxa"/>
            <w:vAlign w:val="bottom"/>
          </w:tcPr>
          <w:p>
            <w:pPr>
              <w:spacing w:after="0"/>
              <w:rPr>
                <w:sz w:val="14"/>
                <w:szCs w:val="14"/>
                <w:color w:val="auto"/>
              </w:rPr>
            </w:pP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5,252,865</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Amortization of deferred compensation</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060" w:type="dxa"/>
            <w:vAlign w:val="bottom"/>
          </w:tcPr>
          <w:p>
            <w:pPr>
              <w:jc w:val="center"/>
              <w:ind w:left="167"/>
              <w:spacing w:after="0" w:line="168" w:lineRule="exact"/>
              <w:rPr>
                <w:sz w:val="20"/>
                <w:szCs w:val="20"/>
                <w:color w:val="auto"/>
              </w:rPr>
            </w:pPr>
            <w:r>
              <w:rPr>
                <w:rFonts w:ascii="Courier New" w:cs="Courier New" w:eastAsia="Courier New" w:hAnsi="Courier New"/>
                <w:sz w:val="15"/>
                <w:szCs w:val="15"/>
                <w:color w:val="auto"/>
                <w:w w:val="99"/>
              </w:rPr>
              <w:t>--</w:t>
            </w:r>
          </w:p>
        </w:tc>
        <w:tc>
          <w:tcPr>
            <w:tcW w:w="260" w:type="dxa"/>
            <w:vAlign w:val="bottom"/>
          </w:tcPr>
          <w:p>
            <w:pPr>
              <w:spacing w:after="0"/>
              <w:rPr>
                <w:sz w:val="14"/>
                <w:szCs w:val="14"/>
                <w:color w:val="auto"/>
              </w:rPr>
            </w:pP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Current year translation adjustment</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060" w:type="dxa"/>
            <w:vAlign w:val="bottom"/>
          </w:tcPr>
          <w:p>
            <w:pPr>
              <w:jc w:val="center"/>
              <w:ind w:left="167"/>
              <w:spacing w:after="0" w:line="168" w:lineRule="exact"/>
              <w:rPr>
                <w:sz w:val="20"/>
                <w:szCs w:val="20"/>
                <w:color w:val="auto"/>
              </w:rPr>
            </w:pPr>
            <w:r>
              <w:rPr>
                <w:rFonts w:ascii="Courier New" w:cs="Courier New" w:eastAsia="Courier New" w:hAnsi="Courier New"/>
                <w:sz w:val="15"/>
                <w:szCs w:val="15"/>
                <w:color w:val="auto"/>
                <w:w w:val="99"/>
              </w:rPr>
              <w:t>--</w:t>
            </w:r>
          </w:p>
        </w:tc>
        <w:tc>
          <w:tcPr>
            <w:tcW w:w="260" w:type="dxa"/>
            <w:vAlign w:val="bottom"/>
          </w:tcPr>
          <w:p>
            <w:pPr>
              <w:spacing w:after="0"/>
              <w:rPr>
                <w:sz w:val="14"/>
                <w:szCs w:val="14"/>
                <w:color w:val="auto"/>
              </w:rPr>
            </w:pP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Unrealized loss on investments</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060" w:type="dxa"/>
            <w:vAlign w:val="bottom"/>
          </w:tcPr>
          <w:p>
            <w:pPr>
              <w:jc w:val="center"/>
              <w:ind w:left="167"/>
              <w:spacing w:after="0" w:line="168" w:lineRule="exact"/>
              <w:rPr>
                <w:sz w:val="20"/>
                <w:szCs w:val="20"/>
                <w:color w:val="auto"/>
              </w:rPr>
            </w:pPr>
            <w:r>
              <w:rPr>
                <w:rFonts w:ascii="Courier New" w:cs="Courier New" w:eastAsia="Courier New" w:hAnsi="Courier New"/>
                <w:sz w:val="15"/>
                <w:szCs w:val="15"/>
                <w:color w:val="auto"/>
                <w:w w:val="99"/>
              </w:rPr>
              <w:t>--</w:t>
            </w:r>
          </w:p>
        </w:tc>
        <w:tc>
          <w:tcPr>
            <w:tcW w:w="260" w:type="dxa"/>
            <w:vAlign w:val="bottom"/>
          </w:tcPr>
          <w:p>
            <w:pPr>
              <w:spacing w:after="0"/>
              <w:rPr>
                <w:sz w:val="14"/>
                <w:szCs w:val="14"/>
                <w:color w:val="auto"/>
              </w:rPr>
            </w:pP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income</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060" w:type="dxa"/>
            <w:vAlign w:val="bottom"/>
          </w:tcPr>
          <w:p>
            <w:pPr>
              <w:jc w:val="center"/>
              <w:ind w:left="167"/>
              <w:spacing w:after="0" w:line="168" w:lineRule="exact"/>
              <w:rPr>
                <w:sz w:val="20"/>
                <w:szCs w:val="20"/>
                <w:color w:val="auto"/>
              </w:rPr>
            </w:pPr>
            <w:r>
              <w:rPr>
                <w:rFonts w:ascii="Courier New" w:cs="Courier New" w:eastAsia="Courier New" w:hAnsi="Courier New"/>
                <w:sz w:val="15"/>
                <w:szCs w:val="15"/>
                <w:color w:val="auto"/>
                <w:w w:val="99"/>
              </w:rPr>
              <w:t>--</w:t>
            </w:r>
          </w:p>
        </w:tc>
        <w:tc>
          <w:tcPr>
            <w:tcW w:w="260" w:type="dxa"/>
            <w:vAlign w:val="bottom"/>
          </w:tcPr>
          <w:p>
            <w:pPr>
              <w:spacing w:after="0"/>
              <w:rPr>
                <w:sz w:val="14"/>
                <w:szCs w:val="14"/>
                <w:color w:val="auto"/>
              </w:rPr>
            </w:pP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18,895,143</w:t>
            </w:r>
          </w:p>
        </w:tc>
      </w:tr>
      <w:tr>
        <w:trPr>
          <w:trHeight w:val="168"/>
        </w:trPr>
        <w:tc>
          <w:tcPr>
            <w:tcW w:w="4340" w:type="dxa"/>
            <w:vAlign w:val="bottom"/>
          </w:tcPr>
          <w:p>
            <w:pPr>
              <w:spacing w:after="0"/>
              <w:rPr>
                <w:sz w:val="14"/>
                <w:szCs w:val="14"/>
                <w:color w:val="auto"/>
              </w:rPr>
            </w:pP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40" w:type="dxa"/>
            <w:vAlign w:val="bottom"/>
          </w:tcPr>
          <w:p>
            <w:pPr>
              <w:jc w:val="right"/>
              <w:ind w:right="1547"/>
              <w:spacing w:after="0"/>
              <w:rPr>
                <w:sz w:val="20"/>
                <w:szCs w:val="20"/>
                <w:color w:val="auto"/>
              </w:rPr>
            </w:pPr>
            <w:r>
              <w:rPr>
                <w:rFonts w:ascii="Courier New" w:cs="Courier New" w:eastAsia="Courier New" w:hAnsi="Courier New"/>
                <w:sz w:val="15"/>
                <w:szCs w:val="15"/>
                <w:color w:val="auto"/>
                <w:w w:val="96"/>
              </w:rPr>
              <w:t>BALANCE AS OF DECEMBER 31, 1995</w:t>
            </w: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16,895,859</w:t>
            </w:r>
          </w:p>
        </w:tc>
        <w:tc>
          <w:tcPr>
            <w:tcW w:w="340" w:type="dxa"/>
            <w:vAlign w:val="bottom"/>
          </w:tcPr>
          <w:p>
            <w:pPr>
              <w:spacing w:after="0"/>
              <w:rPr>
                <w:sz w:val="24"/>
                <w:szCs w:val="24"/>
                <w:color w:val="auto"/>
              </w:rPr>
            </w:pP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1,013,752</w:t>
            </w:r>
          </w:p>
        </w:tc>
        <w:tc>
          <w:tcPr>
            <w:tcW w:w="260" w:type="dxa"/>
            <w:vAlign w:val="bottom"/>
          </w:tcPr>
          <w:p>
            <w:pPr>
              <w:spacing w:after="0"/>
              <w:rPr>
                <w:sz w:val="24"/>
                <w:szCs w:val="24"/>
                <w:color w:val="auto"/>
              </w:rPr>
            </w:pP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37,128,320</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58,305,081</w:t>
            </w:r>
          </w:p>
        </w:tc>
      </w:tr>
      <w:tr>
        <w:trPr>
          <w:trHeight w:val="336"/>
        </w:trPr>
        <w:tc>
          <w:tcPr>
            <w:tcW w:w="4340" w:type="dxa"/>
            <w:vAlign w:val="bottom"/>
          </w:tcPr>
          <w:p>
            <w:pPr>
              <w:ind w:left="280"/>
              <w:spacing w:after="0"/>
              <w:rPr>
                <w:sz w:val="20"/>
                <w:szCs w:val="20"/>
                <w:color w:val="auto"/>
              </w:rPr>
            </w:pPr>
            <w:r>
              <w:rPr>
                <w:rFonts w:ascii="Courier New" w:cs="Courier New" w:eastAsia="Courier New" w:hAnsi="Courier New"/>
                <w:sz w:val="15"/>
                <w:szCs w:val="15"/>
                <w:color w:val="auto"/>
              </w:rPr>
              <w:t>Issuance of common stock and the tax benefit</w:t>
            </w:r>
          </w:p>
        </w:tc>
        <w:tc>
          <w:tcPr>
            <w:tcW w:w="1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8"/>
        </w:trPr>
        <w:tc>
          <w:tcPr>
            <w:tcW w:w="43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of stock plan transactions</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633,754</w:t>
            </w:r>
          </w:p>
        </w:tc>
        <w:tc>
          <w:tcPr>
            <w:tcW w:w="340" w:type="dxa"/>
            <w:vAlign w:val="bottom"/>
          </w:tcPr>
          <w:p>
            <w:pPr>
              <w:spacing w:after="0"/>
              <w:rPr>
                <w:sz w:val="14"/>
                <w:szCs w:val="14"/>
                <w:color w:val="auto"/>
              </w:rPr>
            </w:pPr>
          </w:p>
        </w:tc>
        <w:tc>
          <w:tcPr>
            <w:tcW w:w="106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6"/>
              </w:rPr>
              <w:t>38,025</w:t>
            </w:r>
          </w:p>
        </w:tc>
        <w:tc>
          <w:tcPr>
            <w:tcW w:w="260" w:type="dxa"/>
            <w:vAlign w:val="bottom"/>
          </w:tcPr>
          <w:p>
            <w:pPr>
              <w:spacing w:after="0"/>
              <w:rPr>
                <w:sz w:val="14"/>
                <w:szCs w:val="14"/>
                <w:color w:val="auto"/>
              </w:rPr>
            </w:pP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8,868,755</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Amortization of deferred compensation</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060" w:type="dxa"/>
            <w:vAlign w:val="bottom"/>
          </w:tcPr>
          <w:p>
            <w:pPr>
              <w:jc w:val="center"/>
              <w:ind w:left="167"/>
              <w:spacing w:after="0" w:line="168" w:lineRule="exact"/>
              <w:rPr>
                <w:sz w:val="20"/>
                <w:szCs w:val="20"/>
                <w:color w:val="auto"/>
              </w:rPr>
            </w:pPr>
            <w:r>
              <w:rPr>
                <w:rFonts w:ascii="Courier New" w:cs="Courier New" w:eastAsia="Courier New" w:hAnsi="Courier New"/>
                <w:sz w:val="15"/>
                <w:szCs w:val="15"/>
                <w:color w:val="auto"/>
                <w:w w:val="99"/>
              </w:rPr>
              <w:t>--</w:t>
            </w:r>
          </w:p>
        </w:tc>
        <w:tc>
          <w:tcPr>
            <w:tcW w:w="260" w:type="dxa"/>
            <w:vAlign w:val="bottom"/>
          </w:tcPr>
          <w:p>
            <w:pPr>
              <w:spacing w:after="0"/>
              <w:rPr>
                <w:sz w:val="14"/>
                <w:szCs w:val="14"/>
                <w:color w:val="auto"/>
              </w:rPr>
            </w:pP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Stock split</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17,219,669</w:t>
            </w:r>
          </w:p>
        </w:tc>
        <w:tc>
          <w:tcPr>
            <w:tcW w:w="34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1,033,180</w:t>
            </w:r>
          </w:p>
        </w:tc>
        <w:tc>
          <w:tcPr>
            <w:tcW w:w="260" w:type="dxa"/>
            <w:vAlign w:val="bottom"/>
          </w:tcPr>
          <w:p>
            <w:pPr>
              <w:spacing w:after="0"/>
              <w:rPr>
                <w:sz w:val="14"/>
                <w:szCs w:val="14"/>
                <w:color w:val="auto"/>
              </w:rPr>
            </w:pP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(1,033,180)</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Current year translation adjustment</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060" w:type="dxa"/>
            <w:vAlign w:val="bottom"/>
          </w:tcPr>
          <w:p>
            <w:pPr>
              <w:jc w:val="center"/>
              <w:ind w:left="167"/>
              <w:spacing w:after="0" w:line="168" w:lineRule="exact"/>
              <w:rPr>
                <w:sz w:val="20"/>
                <w:szCs w:val="20"/>
                <w:color w:val="auto"/>
              </w:rPr>
            </w:pPr>
            <w:r>
              <w:rPr>
                <w:rFonts w:ascii="Courier New" w:cs="Courier New" w:eastAsia="Courier New" w:hAnsi="Courier New"/>
                <w:sz w:val="15"/>
                <w:szCs w:val="15"/>
                <w:color w:val="auto"/>
                <w:w w:val="99"/>
              </w:rPr>
              <w:t>--</w:t>
            </w:r>
          </w:p>
        </w:tc>
        <w:tc>
          <w:tcPr>
            <w:tcW w:w="260" w:type="dxa"/>
            <w:vAlign w:val="bottom"/>
          </w:tcPr>
          <w:p>
            <w:pPr>
              <w:spacing w:after="0"/>
              <w:rPr>
                <w:sz w:val="14"/>
                <w:szCs w:val="14"/>
                <w:color w:val="auto"/>
              </w:rPr>
            </w:pP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Unrealized gain on investments</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060" w:type="dxa"/>
            <w:vAlign w:val="bottom"/>
          </w:tcPr>
          <w:p>
            <w:pPr>
              <w:jc w:val="center"/>
              <w:ind w:left="167"/>
              <w:spacing w:after="0" w:line="168" w:lineRule="exact"/>
              <w:rPr>
                <w:sz w:val="20"/>
                <w:szCs w:val="20"/>
                <w:color w:val="auto"/>
              </w:rPr>
            </w:pPr>
            <w:r>
              <w:rPr>
                <w:rFonts w:ascii="Courier New" w:cs="Courier New" w:eastAsia="Courier New" w:hAnsi="Courier New"/>
                <w:sz w:val="15"/>
                <w:szCs w:val="15"/>
                <w:color w:val="auto"/>
                <w:w w:val="99"/>
              </w:rPr>
              <w:t>--</w:t>
            </w:r>
          </w:p>
        </w:tc>
        <w:tc>
          <w:tcPr>
            <w:tcW w:w="260" w:type="dxa"/>
            <w:vAlign w:val="bottom"/>
          </w:tcPr>
          <w:p>
            <w:pPr>
              <w:spacing w:after="0"/>
              <w:rPr>
                <w:sz w:val="14"/>
                <w:szCs w:val="14"/>
                <w:color w:val="auto"/>
              </w:rPr>
            </w:pP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income</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060" w:type="dxa"/>
            <w:vAlign w:val="bottom"/>
          </w:tcPr>
          <w:p>
            <w:pPr>
              <w:jc w:val="center"/>
              <w:ind w:left="167"/>
              <w:spacing w:after="0" w:line="168" w:lineRule="exact"/>
              <w:rPr>
                <w:sz w:val="20"/>
                <w:szCs w:val="20"/>
                <w:color w:val="auto"/>
              </w:rPr>
            </w:pPr>
            <w:r>
              <w:rPr>
                <w:rFonts w:ascii="Courier New" w:cs="Courier New" w:eastAsia="Courier New" w:hAnsi="Courier New"/>
                <w:sz w:val="15"/>
                <w:szCs w:val="15"/>
                <w:color w:val="auto"/>
                <w:w w:val="99"/>
              </w:rPr>
              <w:t>--</w:t>
            </w:r>
          </w:p>
        </w:tc>
        <w:tc>
          <w:tcPr>
            <w:tcW w:w="260" w:type="dxa"/>
            <w:vAlign w:val="bottom"/>
          </w:tcPr>
          <w:p>
            <w:pPr>
              <w:spacing w:after="0"/>
              <w:rPr>
                <w:sz w:val="14"/>
                <w:szCs w:val="14"/>
                <w:color w:val="auto"/>
              </w:rPr>
            </w:pP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23,963,395</w:t>
            </w:r>
          </w:p>
        </w:tc>
      </w:tr>
      <w:tr>
        <w:trPr>
          <w:trHeight w:val="168"/>
        </w:trPr>
        <w:tc>
          <w:tcPr>
            <w:tcW w:w="4340" w:type="dxa"/>
            <w:vAlign w:val="bottom"/>
          </w:tcPr>
          <w:p>
            <w:pPr>
              <w:spacing w:after="0"/>
              <w:rPr>
                <w:sz w:val="14"/>
                <w:szCs w:val="14"/>
                <w:color w:val="auto"/>
              </w:rPr>
            </w:pP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40" w:type="dxa"/>
            <w:vAlign w:val="bottom"/>
          </w:tcPr>
          <w:p>
            <w:pPr>
              <w:jc w:val="right"/>
              <w:ind w:right="1547"/>
              <w:spacing w:after="0"/>
              <w:rPr>
                <w:sz w:val="20"/>
                <w:szCs w:val="20"/>
                <w:color w:val="auto"/>
              </w:rPr>
            </w:pPr>
            <w:r>
              <w:rPr>
                <w:rFonts w:ascii="Courier New" w:cs="Courier New" w:eastAsia="Courier New" w:hAnsi="Courier New"/>
                <w:sz w:val="15"/>
                <w:szCs w:val="15"/>
                <w:color w:val="auto"/>
                <w:w w:val="96"/>
              </w:rPr>
              <w:t>BALANCE AS OF DECEMBER 31, 1996</w:t>
            </w: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34,749,282</w:t>
            </w:r>
          </w:p>
        </w:tc>
        <w:tc>
          <w:tcPr>
            <w:tcW w:w="340" w:type="dxa"/>
            <w:vAlign w:val="bottom"/>
          </w:tcPr>
          <w:p>
            <w:pPr>
              <w:spacing w:after="0"/>
              <w:rPr>
                <w:sz w:val="24"/>
                <w:szCs w:val="24"/>
                <w:color w:val="auto"/>
              </w:rPr>
            </w:pP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2,084,957</w:t>
            </w:r>
          </w:p>
        </w:tc>
        <w:tc>
          <w:tcPr>
            <w:tcW w:w="260" w:type="dxa"/>
            <w:vAlign w:val="bottom"/>
          </w:tcPr>
          <w:p>
            <w:pPr>
              <w:spacing w:after="0"/>
              <w:rPr>
                <w:sz w:val="24"/>
                <w:szCs w:val="24"/>
                <w:color w:val="auto"/>
              </w:rPr>
            </w:pP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44,963,895</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82,268,476</w:t>
            </w:r>
          </w:p>
        </w:tc>
      </w:tr>
      <w:tr>
        <w:trPr>
          <w:trHeight w:val="336"/>
        </w:trPr>
        <w:tc>
          <w:tcPr>
            <w:tcW w:w="4340" w:type="dxa"/>
            <w:vAlign w:val="bottom"/>
          </w:tcPr>
          <w:p>
            <w:pPr>
              <w:ind w:left="180"/>
              <w:spacing w:after="0"/>
              <w:rPr>
                <w:sz w:val="20"/>
                <w:szCs w:val="20"/>
                <w:color w:val="auto"/>
              </w:rPr>
            </w:pPr>
            <w:r>
              <w:rPr>
                <w:rFonts w:ascii="Courier New" w:cs="Courier New" w:eastAsia="Courier New" w:hAnsi="Courier New"/>
                <w:sz w:val="15"/>
                <w:szCs w:val="15"/>
                <w:color w:val="auto"/>
              </w:rPr>
              <w:t>Issuance of common stock and the tax benefit</w:t>
            </w:r>
          </w:p>
        </w:tc>
        <w:tc>
          <w:tcPr>
            <w:tcW w:w="1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8"/>
        </w:trPr>
        <w:tc>
          <w:tcPr>
            <w:tcW w:w="43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of stock plan transactions</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649,865</w:t>
            </w:r>
          </w:p>
        </w:tc>
        <w:tc>
          <w:tcPr>
            <w:tcW w:w="340" w:type="dxa"/>
            <w:vAlign w:val="bottom"/>
          </w:tcPr>
          <w:p>
            <w:pPr>
              <w:spacing w:after="0"/>
              <w:rPr>
                <w:sz w:val="14"/>
                <w:szCs w:val="14"/>
                <w:color w:val="auto"/>
              </w:rPr>
            </w:pPr>
          </w:p>
        </w:tc>
        <w:tc>
          <w:tcPr>
            <w:tcW w:w="106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6"/>
              </w:rPr>
              <w:t>38,992</w:t>
            </w:r>
          </w:p>
        </w:tc>
        <w:tc>
          <w:tcPr>
            <w:tcW w:w="260" w:type="dxa"/>
            <w:vAlign w:val="bottom"/>
          </w:tcPr>
          <w:p>
            <w:pPr>
              <w:spacing w:after="0"/>
              <w:rPr>
                <w:sz w:val="14"/>
                <w:szCs w:val="14"/>
                <w:color w:val="auto"/>
              </w:rPr>
            </w:pP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8,690,768</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Amortization of deferred compensation</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060" w:type="dxa"/>
            <w:vAlign w:val="bottom"/>
          </w:tcPr>
          <w:p>
            <w:pPr>
              <w:jc w:val="center"/>
              <w:ind w:left="167"/>
              <w:spacing w:after="0" w:line="168" w:lineRule="exact"/>
              <w:rPr>
                <w:sz w:val="20"/>
                <w:szCs w:val="20"/>
                <w:color w:val="auto"/>
              </w:rPr>
            </w:pPr>
            <w:r>
              <w:rPr>
                <w:rFonts w:ascii="Courier New" w:cs="Courier New" w:eastAsia="Courier New" w:hAnsi="Courier New"/>
                <w:sz w:val="15"/>
                <w:szCs w:val="15"/>
                <w:color w:val="auto"/>
                <w:w w:val="99"/>
              </w:rPr>
              <w:t>--</w:t>
            </w:r>
          </w:p>
        </w:tc>
        <w:tc>
          <w:tcPr>
            <w:tcW w:w="260" w:type="dxa"/>
            <w:vAlign w:val="bottom"/>
          </w:tcPr>
          <w:p>
            <w:pPr>
              <w:spacing w:after="0"/>
              <w:rPr>
                <w:sz w:val="14"/>
                <w:szCs w:val="14"/>
                <w:color w:val="auto"/>
              </w:rPr>
            </w:pP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Current year translation adjustment</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060" w:type="dxa"/>
            <w:vAlign w:val="bottom"/>
          </w:tcPr>
          <w:p>
            <w:pPr>
              <w:jc w:val="center"/>
              <w:ind w:left="167"/>
              <w:spacing w:after="0" w:line="168" w:lineRule="exact"/>
              <w:rPr>
                <w:sz w:val="20"/>
                <w:szCs w:val="20"/>
                <w:color w:val="auto"/>
              </w:rPr>
            </w:pPr>
            <w:r>
              <w:rPr>
                <w:rFonts w:ascii="Courier New" w:cs="Courier New" w:eastAsia="Courier New" w:hAnsi="Courier New"/>
                <w:sz w:val="15"/>
                <w:szCs w:val="15"/>
                <w:color w:val="auto"/>
                <w:w w:val="99"/>
              </w:rPr>
              <w:t>--</w:t>
            </w:r>
          </w:p>
        </w:tc>
        <w:tc>
          <w:tcPr>
            <w:tcW w:w="260" w:type="dxa"/>
            <w:vAlign w:val="bottom"/>
          </w:tcPr>
          <w:p>
            <w:pPr>
              <w:spacing w:after="0"/>
              <w:rPr>
                <w:sz w:val="14"/>
                <w:szCs w:val="14"/>
                <w:color w:val="auto"/>
              </w:rPr>
            </w:pP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Unrealized gain on investments</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060" w:type="dxa"/>
            <w:vAlign w:val="bottom"/>
          </w:tcPr>
          <w:p>
            <w:pPr>
              <w:jc w:val="center"/>
              <w:ind w:left="167"/>
              <w:spacing w:after="0" w:line="168" w:lineRule="exact"/>
              <w:rPr>
                <w:sz w:val="20"/>
                <w:szCs w:val="20"/>
                <w:color w:val="auto"/>
              </w:rPr>
            </w:pPr>
            <w:r>
              <w:rPr>
                <w:rFonts w:ascii="Courier New" w:cs="Courier New" w:eastAsia="Courier New" w:hAnsi="Courier New"/>
                <w:sz w:val="15"/>
                <w:szCs w:val="15"/>
                <w:color w:val="auto"/>
                <w:w w:val="99"/>
              </w:rPr>
              <w:t>--</w:t>
            </w:r>
          </w:p>
        </w:tc>
        <w:tc>
          <w:tcPr>
            <w:tcW w:w="260" w:type="dxa"/>
            <w:vAlign w:val="bottom"/>
          </w:tcPr>
          <w:p>
            <w:pPr>
              <w:spacing w:after="0"/>
              <w:rPr>
                <w:sz w:val="14"/>
                <w:szCs w:val="14"/>
                <w:color w:val="auto"/>
              </w:rPr>
            </w:pP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income</w:t>
            </w:r>
          </w:p>
        </w:tc>
        <w:tc>
          <w:tcPr>
            <w:tcW w:w="1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060" w:type="dxa"/>
            <w:vAlign w:val="bottom"/>
          </w:tcPr>
          <w:p>
            <w:pPr>
              <w:jc w:val="center"/>
              <w:ind w:left="167"/>
              <w:spacing w:after="0" w:line="168" w:lineRule="exact"/>
              <w:rPr>
                <w:sz w:val="20"/>
                <w:szCs w:val="20"/>
                <w:color w:val="auto"/>
              </w:rPr>
            </w:pPr>
            <w:r>
              <w:rPr>
                <w:rFonts w:ascii="Courier New" w:cs="Courier New" w:eastAsia="Courier New" w:hAnsi="Courier New"/>
                <w:sz w:val="15"/>
                <w:szCs w:val="15"/>
                <w:color w:val="auto"/>
                <w:w w:val="99"/>
              </w:rPr>
              <w:t>--</w:t>
            </w:r>
          </w:p>
        </w:tc>
        <w:tc>
          <w:tcPr>
            <w:tcW w:w="260" w:type="dxa"/>
            <w:vAlign w:val="bottom"/>
          </w:tcPr>
          <w:p>
            <w:pPr>
              <w:spacing w:after="0"/>
              <w:rPr>
                <w:sz w:val="14"/>
                <w:szCs w:val="14"/>
                <w:color w:val="auto"/>
              </w:rPr>
            </w:pP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35,230,224</w:t>
            </w:r>
          </w:p>
        </w:tc>
      </w:tr>
      <w:tr>
        <w:trPr>
          <w:trHeight w:val="168"/>
        </w:trPr>
        <w:tc>
          <w:tcPr>
            <w:tcW w:w="4340" w:type="dxa"/>
            <w:vAlign w:val="bottom"/>
          </w:tcPr>
          <w:p>
            <w:pPr>
              <w:spacing w:after="0"/>
              <w:rPr>
                <w:sz w:val="14"/>
                <w:szCs w:val="14"/>
                <w:color w:val="auto"/>
              </w:rPr>
            </w:pP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40" w:type="dxa"/>
            <w:vAlign w:val="bottom"/>
          </w:tcPr>
          <w:p>
            <w:pPr>
              <w:jc w:val="right"/>
              <w:ind w:right="1547"/>
              <w:spacing w:after="0"/>
              <w:rPr>
                <w:sz w:val="20"/>
                <w:szCs w:val="20"/>
                <w:color w:val="auto"/>
              </w:rPr>
            </w:pPr>
            <w:r>
              <w:rPr>
                <w:rFonts w:ascii="Courier New" w:cs="Courier New" w:eastAsia="Courier New" w:hAnsi="Courier New"/>
                <w:sz w:val="15"/>
                <w:szCs w:val="15"/>
                <w:color w:val="auto"/>
                <w:w w:val="96"/>
              </w:rPr>
              <w:t>BALANCE AS OF DECEMBER 31, 1997</w:t>
            </w: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35,399,147</w:t>
            </w:r>
          </w:p>
        </w:tc>
        <w:tc>
          <w:tcPr>
            <w:tcW w:w="3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2,123,949</w:t>
            </w:r>
          </w:p>
        </w:tc>
        <w:tc>
          <w:tcPr>
            <w:tcW w:w="26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53,654,663</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$ 117,498,700</w:t>
            </w:r>
          </w:p>
        </w:tc>
      </w:tr>
      <w:tr>
        <w:trPr>
          <w:trHeight w:val="168"/>
        </w:trPr>
        <w:tc>
          <w:tcPr>
            <w:tcW w:w="4340" w:type="dxa"/>
            <w:vAlign w:val="bottom"/>
          </w:tcPr>
          <w:p>
            <w:pPr>
              <w:spacing w:after="0"/>
              <w:rPr>
                <w:sz w:val="14"/>
                <w:szCs w:val="14"/>
                <w:color w:val="auto"/>
              </w:rPr>
            </w:pP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20"/>
                <w:szCs w:val="20"/>
                <w:color w:val="auto"/>
              </w:rPr>
            </w:pPr>
            <w:r>
              <w:rPr>
                <w:rFonts w:ascii="Courier New" w:cs="Courier New" w:eastAsia="Courier New" w:hAnsi="Courier New"/>
                <w:sz w:val="15"/>
                <w:szCs w:val="15"/>
                <w:color w:val="auto"/>
              </w:rPr>
              <w:t>Unrealized</w:t>
            </w:r>
          </w:p>
        </w:tc>
        <w:tc>
          <w:tcPr>
            <w:tcW w:w="180" w:type="dxa"/>
            <w:vAlign w:val="bottom"/>
          </w:tcPr>
          <w:p>
            <w:pPr>
              <w:spacing w:after="0"/>
              <w:rPr>
                <w:sz w:val="14"/>
                <w:szCs w:val="14"/>
                <w:color w:val="auto"/>
              </w:rPr>
            </w:pPr>
          </w:p>
        </w:tc>
        <w:tc>
          <w:tcPr>
            <w:tcW w:w="1220" w:type="dxa"/>
            <w:vAlign w:val="bottom"/>
          </w:tcPr>
          <w:p>
            <w:pPr>
              <w:spacing w:after="0"/>
              <w:rPr>
                <w:sz w:val="20"/>
                <w:szCs w:val="20"/>
                <w:color w:val="auto"/>
              </w:rPr>
            </w:pPr>
            <w:r>
              <w:rPr>
                <w:rFonts w:ascii="Courier New" w:cs="Courier New" w:eastAsia="Courier New" w:hAnsi="Courier New"/>
                <w:sz w:val="15"/>
                <w:szCs w:val="15"/>
                <w:color w:val="auto"/>
              </w:rPr>
              <w:t>Cumulative</w:t>
            </w:r>
          </w:p>
        </w:tc>
        <w:tc>
          <w:tcPr>
            <w:tcW w:w="14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Total</w:t>
            </w:r>
          </w:p>
        </w:tc>
      </w:tr>
      <w:tr>
        <w:trPr>
          <w:trHeight w:val="168"/>
        </w:trPr>
        <w:tc>
          <w:tcPr>
            <w:tcW w:w="4340" w:type="dxa"/>
            <w:vAlign w:val="bottom"/>
          </w:tcPr>
          <w:p>
            <w:pPr>
              <w:spacing w:after="0"/>
              <w:rPr>
                <w:sz w:val="14"/>
                <w:szCs w:val="14"/>
                <w:color w:val="auto"/>
              </w:rPr>
            </w:pP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Deferred</w:t>
            </w:r>
          </w:p>
        </w:tc>
        <w:tc>
          <w:tcPr>
            <w:tcW w:w="14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Gain (Loss) on</w:t>
            </w:r>
          </w:p>
        </w:tc>
        <w:tc>
          <w:tcPr>
            <w:tcW w:w="180" w:type="dxa"/>
            <w:vAlign w:val="bottom"/>
          </w:tcPr>
          <w:p>
            <w:pPr>
              <w:spacing w:after="0"/>
              <w:rPr>
                <w:sz w:val="14"/>
                <w:szCs w:val="14"/>
                <w:color w:val="auto"/>
              </w:rPr>
            </w:pPr>
          </w:p>
        </w:tc>
        <w:tc>
          <w:tcPr>
            <w:tcW w:w="1220" w:type="dxa"/>
            <w:vAlign w:val="bottom"/>
          </w:tcPr>
          <w:p>
            <w:pPr>
              <w:spacing w:after="0" w:line="168" w:lineRule="exact"/>
              <w:rPr>
                <w:sz w:val="20"/>
                <w:szCs w:val="20"/>
                <w:color w:val="auto"/>
              </w:rPr>
            </w:pPr>
            <w:r>
              <w:rPr>
                <w:rFonts w:ascii="Courier New" w:cs="Courier New" w:eastAsia="Courier New" w:hAnsi="Courier New"/>
                <w:sz w:val="15"/>
                <w:szCs w:val="15"/>
                <w:color w:val="auto"/>
              </w:rPr>
              <w:t>Translation</w:t>
            </w:r>
          </w:p>
        </w:tc>
        <w:tc>
          <w:tcPr>
            <w:tcW w:w="14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Shareholders'</w:t>
            </w:r>
          </w:p>
        </w:tc>
      </w:tr>
      <w:tr>
        <w:trPr>
          <w:trHeight w:val="168"/>
        </w:trPr>
        <w:tc>
          <w:tcPr>
            <w:tcW w:w="4340" w:type="dxa"/>
            <w:vAlign w:val="bottom"/>
          </w:tcPr>
          <w:p>
            <w:pPr>
              <w:spacing w:after="0"/>
              <w:rPr>
                <w:sz w:val="14"/>
                <w:szCs w:val="14"/>
                <w:color w:val="auto"/>
              </w:rPr>
            </w:pPr>
          </w:p>
        </w:tc>
        <w:tc>
          <w:tcPr>
            <w:tcW w:w="1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Compensation</w:t>
            </w:r>
          </w:p>
        </w:tc>
        <w:tc>
          <w:tcPr>
            <w:tcW w:w="320" w:type="dxa"/>
            <w:vAlign w:val="bottom"/>
          </w:tcPr>
          <w:p>
            <w:pPr>
              <w:spacing w:after="0"/>
              <w:rPr>
                <w:sz w:val="14"/>
                <w:szCs w:val="14"/>
                <w:color w:val="auto"/>
              </w:rPr>
            </w:pPr>
          </w:p>
        </w:tc>
        <w:tc>
          <w:tcPr>
            <w:tcW w:w="112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Investments</w:t>
            </w:r>
          </w:p>
        </w:tc>
        <w:tc>
          <w:tcPr>
            <w:tcW w:w="180" w:type="dxa"/>
            <w:vAlign w:val="bottom"/>
          </w:tcPr>
          <w:p>
            <w:pPr>
              <w:spacing w:after="0"/>
              <w:rPr>
                <w:sz w:val="14"/>
                <w:szCs w:val="14"/>
                <w:color w:val="auto"/>
              </w:rPr>
            </w:pPr>
          </w:p>
        </w:tc>
        <w:tc>
          <w:tcPr>
            <w:tcW w:w="1220" w:type="dxa"/>
            <w:vAlign w:val="bottom"/>
          </w:tcPr>
          <w:p>
            <w:pPr>
              <w:spacing w:after="0" w:line="168" w:lineRule="exact"/>
              <w:rPr>
                <w:sz w:val="20"/>
                <w:szCs w:val="20"/>
                <w:color w:val="auto"/>
              </w:rPr>
            </w:pPr>
            <w:r>
              <w:rPr>
                <w:rFonts w:ascii="Courier New" w:cs="Courier New" w:eastAsia="Courier New" w:hAnsi="Courier New"/>
                <w:sz w:val="15"/>
                <w:szCs w:val="15"/>
                <w:color w:val="auto"/>
              </w:rPr>
              <w:t>Adjustment</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Investment</w:t>
            </w:r>
          </w:p>
        </w:tc>
      </w:tr>
      <w:tr>
        <w:trPr>
          <w:trHeight w:val="168"/>
        </w:trPr>
        <w:tc>
          <w:tcPr>
            <w:tcW w:w="4340" w:type="dxa"/>
            <w:vAlign w:val="bottom"/>
          </w:tcPr>
          <w:p>
            <w:pPr>
              <w:spacing w:after="0"/>
              <w:rPr>
                <w:sz w:val="14"/>
                <w:szCs w:val="14"/>
                <w:color w:val="auto"/>
              </w:rPr>
            </w:pPr>
          </w:p>
        </w:tc>
        <w:tc>
          <w:tcPr>
            <w:tcW w:w="1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1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5"/>
              </w:rPr>
              <w:t>----------</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40" w:type="dxa"/>
            <w:vAlign w:val="bottom"/>
          </w:tcPr>
          <w:p>
            <w:pPr>
              <w:jc w:val="right"/>
              <w:ind w:right="1547"/>
              <w:spacing w:after="0"/>
              <w:rPr>
                <w:sz w:val="20"/>
                <w:szCs w:val="20"/>
                <w:color w:val="auto"/>
              </w:rPr>
            </w:pPr>
            <w:r>
              <w:rPr>
                <w:rFonts w:ascii="Courier New" w:cs="Courier New" w:eastAsia="Courier New" w:hAnsi="Courier New"/>
                <w:sz w:val="15"/>
                <w:szCs w:val="15"/>
                <w:color w:val="auto"/>
                <w:w w:val="96"/>
              </w:rPr>
              <w:t>BALANCE AS OF DECEMBER 31, 1994</w:t>
            </w:r>
          </w:p>
        </w:tc>
        <w:tc>
          <w:tcPr>
            <w:tcW w:w="14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(899,136)</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(1,365)</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  71,375,461</w:t>
            </w:r>
          </w:p>
        </w:tc>
      </w:tr>
      <w:tr>
        <w:trPr>
          <w:trHeight w:val="336"/>
        </w:trPr>
        <w:tc>
          <w:tcPr>
            <w:tcW w:w="4340" w:type="dxa"/>
            <w:vAlign w:val="bottom"/>
          </w:tcPr>
          <w:p>
            <w:pPr>
              <w:ind w:left="180"/>
              <w:spacing w:after="0"/>
              <w:rPr>
                <w:sz w:val="20"/>
                <w:szCs w:val="20"/>
                <w:color w:val="auto"/>
              </w:rPr>
            </w:pPr>
            <w:r>
              <w:rPr>
                <w:rFonts w:ascii="Courier New" w:cs="Courier New" w:eastAsia="Courier New" w:hAnsi="Courier New"/>
                <w:sz w:val="15"/>
                <w:szCs w:val="15"/>
                <w:color w:val="auto"/>
              </w:rPr>
              <w:t>Issuance of common stock and the tax benefit</w:t>
            </w: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8"/>
        </w:trPr>
        <w:tc>
          <w:tcPr>
            <w:tcW w:w="4340" w:type="dxa"/>
            <w:vAlign w:val="bottom"/>
          </w:tcPr>
          <w:p>
            <w:pPr>
              <w:jc w:val="right"/>
              <w:ind w:right="1547"/>
              <w:spacing w:after="0" w:line="168" w:lineRule="exact"/>
              <w:rPr>
                <w:sz w:val="20"/>
                <w:szCs w:val="20"/>
                <w:color w:val="auto"/>
              </w:rPr>
            </w:pPr>
            <w:r>
              <w:rPr>
                <w:rFonts w:ascii="Courier New" w:cs="Courier New" w:eastAsia="Courier New" w:hAnsi="Courier New"/>
                <w:sz w:val="15"/>
                <w:szCs w:val="15"/>
                <w:color w:val="auto"/>
              </w:rPr>
              <w:t>of stock plan transactions</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(1,159,975)</w:t>
            </w:r>
          </w:p>
        </w:tc>
        <w:tc>
          <w:tcPr>
            <w:tcW w:w="320" w:type="dxa"/>
            <w:vAlign w:val="bottom"/>
          </w:tcPr>
          <w:p>
            <w:pPr>
              <w:spacing w:after="0"/>
              <w:rPr>
                <w:sz w:val="14"/>
                <w:szCs w:val="14"/>
                <w:color w:val="auto"/>
              </w:rPr>
            </w:pPr>
          </w:p>
        </w:tc>
        <w:tc>
          <w:tcPr>
            <w:tcW w:w="112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4,116,073</w:t>
            </w: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Amortization of deferred compensation</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337,427</w:t>
            </w:r>
          </w:p>
        </w:tc>
        <w:tc>
          <w:tcPr>
            <w:tcW w:w="320" w:type="dxa"/>
            <w:vAlign w:val="bottom"/>
          </w:tcPr>
          <w:p>
            <w:pPr>
              <w:spacing w:after="0"/>
              <w:rPr>
                <w:sz w:val="14"/>
                <w:szCs w:val="14"/>
                <w:color w:val="auto"/>
              </w:rPr>
            </w:pPr>
          </w:p>
        </w:tc>
        <w:tc>
          <w:tcPr>
            <w:tcW w:w="112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337,427</w:t>
            </w: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Current year translation adjustment</w:t>
            </w: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12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(7,839)</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(7,839)</w:t>
            </w: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Unrealized loss on investments</w:t>
            </w: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12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7"/>
              </w:rPr>
              <w:t>(44,485)</w:t>
            </w:r>
          </w:p>
        </w:tc>
        <w:tc>
          <w:tcPr>
            <w:tcW w:w="18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(44,485)</w:t>
            </w: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income</w:t>
            </w: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12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18,895,143</w:t>
            </w:r>
          </w:p>
        </w:tc>
      </w:tr>
      <w:tr>
        <w:trPr>
          <w:trHeight w:val="168"/>
        </w:trPr>
        <w:tc>
          <w:tcPr>
            <w:tcW w:w="4340" w:type="dxa"/>
            <w:vAlign w:val="bottom"/>
          </w:tcPr>
          <w:p>
            <w:pPr>
              <w:spacing w:after="0"/>
              <w:rPr>
                <w:sz w:val="14"/>
                <w:szCs w:val="14"/>
                <w:color w:val="auto"/>
              </w:rPr>
            </w:pP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jc w:val="right"/>
              <w:ind w:right="1547"/>
              <w:spacing w:after="0" w:line="168" w:lineRule="exact"/>
              <w:rPr>
                <w:sz w:val="20"/>
                <w:szCs w:val="20"/>
                <w:color w:val="auto"/>
              </w:rPr>
            </w:pPr>
            <w:r>
              <w:rPr>
                <w:rFonts w:ascii="Courier New" w:cs="Courier New" w:eastAsia="Courier New" w:hAnsi="Courier New"/>
                <w:sz w:val="15"/>
                <w:szCs w:val="15"/>
                <w:color w:val="auto"/>
                <w:w w:val="96"/>
              </w:rPr>
              <w:t>BALANCE AS OF DECEMBER 31, 1995</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(1,721,684)</w:t>
            </w:r>
          </w:p>
        </w:tc>
        <w:tc>
          <w:tcPr>
            <w:tcW w:w="320" w:type="dxa"/>
            <w:vAlign w:val="bottom"/>
          </w:tcPr>
          <w:p>
            <w:pPr>
              <w:spacing w:after="0"/>
              <w:rPr>
                <w:sz w:val="14"/>
                <w:szCs w:val="14"/>
                <w:color w:val="auto"/>
              </w:rPr>
            </w:pPr>
          </w:p>
        </w:tc>
        <w:tc>
          <w:tcPr>
            <w:tcW w:w="112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7"/>
              </w:rPr>
              <w:t>(44,485)</w:t>
            </w:r>
          </w:p>
        </w:tc>
        <w:tc>
          <w:tcPr>
            <w:tcW w:w="18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(9,204)</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94,671,780</w:t>
            </w:r>
          </w:p>
        </w:tc>
      </w:tr>
      <w:tr>
        <w:trPr>
          <w:trHeight w:val="336"/>
        </w:trPr>
        <w:tc>
          <w:tcPr>
            <w:tcW w:w="4340" w:type="dxa"/>
            <w:vAlign w:val="bottom"/>
          </w:tcPr>
          <w:p>
            <w:pPr>
              <w:ind w:left="280"/>
              <w:spacing w:after="0"/>
              <w:rPr>
                <w:sz w:val="20"/>
                <w:szCs w:val="20"/>
                <w:color w:val="auto"/>
              </w:rPr>
            </w:pPr>
            <w:r>
              <w:rPr>
                <w:rFonts w:ascii="Courier New" w:cs="Courier New" w:eastAsia="Courier New" w:hAnsi="Courier New"/>
                <w:sz w:val="15"/>
                <w:szCs w:val="15"/>
                <w:color w:val="auto"/>
              </w:rPr>
              <w:t>Issuance of common stock and the tax benefit</w:t>
            </w: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8"/>
        </w:trPr>
        <w:tc>
          <w:tcPr>
            <w:tcW w:w="43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of stock plan transactions</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(630,241)</w:t>
            </w:r>
          </w:p>
        </w:tc>
        <w:tc>
          <w:tcPr>
            <w:tcW w:w="320" w:type="dxa"/>
            <w:vAlign w:val="bottom"/>
          </w:tcPr>
          <w:p>
            <w:pPr>
              <w:spacing w:after="0"/>
              <w:rPr>
                <w:sz w:val="14"/>
                <w:szCs w:val="14"/>
                <w:color w:val="auto"/>
              </w:rPr>
            </w:pPr>
          </w:p>
        </w:tc>
        <w:tc>
          <w:tcPr>
            <w:tcW w:w="112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8,276,539</w:t>
            </w:r>
          </w:p>
        </w:tc>
      </w:tr>
      <w:tr>
        <w:trPr>
          <w:trHeight w:val="168"/>
        </w:trPr>
        <w:tc>
          <w:tcPr>
            <w:tcW w:w="43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Amortization of deferred compensation</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547,821</w:t>
            </w:r>
          </w:p>
        </w:tc>
        <w:tc>
          <w:tcPr>
            <w:tcW w:w="320" w:type="dxa"/>
            <w:vAlign w:val="bottom"/>
          </w:tcPr>
          <w:p>
            <w:pPr>
              <w:spacing w:after="0"/>
              <w:rPr>
                <w:sz w:val="14"/>
                <w:szCs w:val="14"/>
                <w:color w:val="auto"/>
              </w:rPr>
            </w:pPr>
          </w:p>
        </w:tc>
        <w:tc>
          <w:tcPr>
            <w:tcW w:w="112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547,821</w:t>
            </w:r>
          </w:p>
        </w:tc>
      </w:tr>
      <w:tr>
        <w:trPr>
          <w:trHeight w:val="168"/>
        </w:trPr>
        <w:tc>
          <w:tcPr>
            <w:tcW w:w="43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Stock split</w:t>
            </w: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12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Current year translation adjustment</w:t>
            </w: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12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8,734</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8,734</w:t>
            </w:r>
          </w:p>
        </w:tc>
      </w:tr>
      <w:tr>
        <w:trPr>
          <w:trHeight w:val="168"/>
        </w:trPr>
        <w:tc>
          <w:tcPr>
            <w:tcW w:w="43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Unrealized gain on investments</w:t>
            </w: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335,372</w:t>
            </w:r>
          </w:p>
        </w:tc>
        <w:tc>
          <w:tcPr>
            <w:tcW w:w="18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335,372</w:t>
            </w:r>
          </w:p>
        </w:tc>
      </w:tr>
      <w:tr>
        <w:trPr>
          <w:trHeight w:val="168"/>
        </w:trPr>
        <w:tc>
          <w:tcPr>
            <w:tcW w:w="43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income</w:t>
            </w: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12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23,963,395</w:t>
            </w:r>
          </w:p>
        </w:tc>
      </w:tr>
      <w:tr>
        <w:trPr>
          <w:trHeight w:val="168"/>
        </w:trPr>
        <w:tc>
          <w:tcPr>
            <w:tcW w:w="4340" w:type="dxa"/>
            <w:vAlign w:val="bottom"/>
          </w:tcPr>
          <w:p>
            <w:pPr>
              <w:spacing w:after="0"/>
              <w:rPr>
                <w:sz w:val="14"/>
                <w:szCs w:val="14"/>
                <w:color w:val="auto"/>
              </w:rPr>
            </w:pP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jc w:val="right"/>
              <w:ind w:right="1547"/>
              <w:spacing w:after="0" w:line="168" w:lineRule="exact"/>
              <w:rPr>
                <w:sz w:val="20"/>
                <w:szCs w:val="20"/>
                <w:color w:val="auto"/>
              </w:rPr>
            </w:pPr>
            <w:r>
              <w:rPr>
                <w:rFonts w:ascii="Courier New" w:cs="Courier New" w:eastAsia="Courier New" w:hAnsi="Courier New"/>
                <w:sz w:val="15"/>
                <w:szCs w:val="15"/>
                <w:color w:val="auto"/>
                <w:w w:val="96"/>
              </w:rPr>
              <w:t>BALANCE AS OF DECEMBER 31, 1996</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(1,804,104)</w:t>
            </w:r>
          </w:p>
        </w:tc>
        <w:tc>
          <w:tcPr>
            <w:tcW w:w="320" w:type="dxa"/>
            <w:vAlign w:val="bottom"/>
          </w:tcPr>
          <w:p>
            <w:pPr>
              <w:spacing w:after="0"/>
              <w:rPr>
                <w:sz w:val="14"/>
                <w:szCs w:val="14"/>
                <w:color w:val="auto"/>
              </w:rPr>
            </w:pP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290,887</w:t>
            </w:r>
          </w:p>
        </w:tc>
        <w:tc>
          <w:tcPr>
            <w:tcW w:w="18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(470)</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127,803,641</w:t>
            </w:r>
          </w:p>
        </w:tc>
      </w:tr>
      <w:tr>
        <w:trPr>
          <w:trHeight w:val="336"/>
        </w:trPr>
        <w:tc>
          <w:tcPr>
            <w:tcW w:w="4340" w:type="dxa"/>
            <w:vAlign w:val="bottom"/>
          </w:tcPr>
          <w:p>
            <w:pPr>
              <w:ind w:left="180"/>
              <w:spacing w:after="0"/>
              <w:rPr>
                <w:sz w:val="20"/>
                <w:szCs w:val="20"/>
                <w:color w:val="auto"/>
              </w:rPr>
            </w:pPr>
            <w:r>
              <w:rPr>
                <w:rFonts w:ascii="Courier New" w:cs="Courier New" w:eastAsia="Courier New" w:hAnsi="Courier New"/>
                <w:sz w:val="15"/>
                <w:szCs w:val="15"/>
                <w:color w:val="auto"/>
              </w:rPr>
              <w:t>Issuance of common stock and the tax benefit</w:t>
            </w: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8"/>
        </w:trPr>
        <w:tc>
          <w:tcPr>
            <w:tcW w:w="43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of stock plan transactions</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(421,579)</w:t>
            </w:r>
          </w:p>
        </w:tc>
        <w:tc>
          <w:tcPr>
            <w:tcW w:w="320" w:type="dxa"/>
            <w:vAlign w:val="bottom"/>
          </w:tcPr>
          <w:p>
            <w:pPr>
              <w:spacing w:after="0"/>
              <w:rPr>
                <w:sz w:val="14"/>
                <w:szCs w:val="14"/>
                <w:color w:val="auto"/>
              </w:rPr>
            </w:pPr>
          </w:p>
        </w:tc>
        <w:tc>
          <w:tcPr>
            <w:tcW w:w="112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8,308,181</w:t>
            </w: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Amortization of deferred compensation</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590,060</w:t>
            </w:r>
          </w:p>
        </w:tc>
        <w:tc>
          <w:tcPr>
            <w:tcW w:w="320" w:type="dxa"/>
            <w:vAlign w:val="bottom"/>
          </w:tcPr>
          <w:p>
            <w:pPr>
              <w:spacing w:after="0"/>
              <w:rPr>
                <w:sz w:val="14"/>
                <w:szCs w:val="14"/>
                <w:color w:val="auto"/>
              </w:rPr>
            </w:pPr>
          </w:p>
        </w:tc>
        <w:tc>
          <w:tcPr>
            <w:tcW w:w="112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590,060</w:t>
            </w: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Current year translation adjustment</w:t>
            </w: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12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(20,410)</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(20,410)</w:t>
            </w: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Unrealized gain on investments</w:t>
            </w: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1,293,481</w:t>
            </w:r>
          </w:p>
        </w:tc>
        <w:tc>
          <w:tcPr>
            <w:tcW w:w="18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1,293,481</w:t>
            </w: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income</w:t>
            </w: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12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35,230,224</w:t>
            </w:r>
          </w:p>
        </w:tc>
      </w:tr>
      <w:tr>
        <w:trPr>
          <w:trHeight w:val="168"/>
        </w:trPr>
        <w:tc>
          <w:tcPr>
            <w:tcW w:w="4340" w:type="dxa"/>
            <w:vAlign w:val="bottom"/>
          </w:tcPr>
          <w:p>
            <w:pPr>
              <w:spacing w:after="0"/>
              <w:rPr>
                <w:sz w:val="14"/>
                <w:szCs w:val="14"/>
                <w:color w:val="auto"/>
              </w:rPr>
            </w:pP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jc w:val="right"/>
              <w:ind w:right="1547"/>
              <w:spacing w:after="0" w:line="168" w:lineRule="exact"/>
              <w:rPr>
                <w:sz w:val="20"/>
                <w:szCs w:val="20"/>
                <w:color w:val="auto"/>
              </w:rPr>
            </w:pPr>
            <w:r>
              <w:rPr>
                <w:rFonts w:ascii="Courier New" w:cs="Courier New" w:eastAsia="Courier New" w:hAnsi="Courier New"/>
                <w:sz w:val="15"/>
                <w:szCs w:val="15"/>
                <w:color w:val="auto"/>
                <w:w w:val="96"/>
              </w:rPr>
              <w:t>BALANCE AS OF DECEMBER 31, 1997</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$(1,635,623)</w:t>
            </w:r>
          </w:p>
        </w:tc>
        <w:tc>
          <w:tcPr>
            <w:tcW w:w="14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$ 1,584,368</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(20,880)</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$ 173,205,177</w:t>
            </w:r>
          </w:p>
        </w:tc>
      </w:tr>
      <w:tr>
        <w:trPr>
          <w:trHeight w:val="168"/>
        </w:trPr>
        <w:tc>
          <w:tcPr>
            <w:tcW w:w="4340" w:type="dxa"/>
            <w:vAlign w:val="bottom"/>
          </w:tcPr>
          <w:p>
            <w:pPr>
              <w:spacing w:after="0"/>
              <w:rPr>
                <w:sz w:val="14"/>
                <w:szCs w:val="14"/>
                <w:color w:val="auto"/>
              </w:rPr>
            </w:pP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5"/>
          <w:szCs w:val="15"/>
          <w:color w:val="auto"/>
        </w:rPr>
        <w:t>The accompanying notes are an integral part of these consolidated financial</w:t>
      </w:r>
    </w:p>
    <w:p>
      <w:pPr>
        <w:jc w:val="center"/>
        <w:ind w:right="3479"/>
        <w:spacing w:after="0" w:line="237" w:lineRule="auto"/>
        <w:rPr>
          <w:sz w:val="20"/>
          <w:szCs w:val="20"/>
          <w:color w:val="auto"/>
        </w:rPr>
      </w:pPr>
      <w:r>
        <w:rPr>
          <w:rFonts w:ascii="Courier New" w:cs="Courier New" w:eastAsia="Courier New" w:hAnsi="Courier New"/>
          <w:sz w:val="15"/>
          <w:szCs w:val="15"/>
          <w:color w:val="auto"/>
        </w:rPr>
        <w:t>statements.</w:t>
      </w:r>
    </w:p>
    <w:p>
      <w:pPr>
        <w:sectPr>
          <w:pgSz w:w="11900" w:h="16838" w:orient="portrait"/>
          <w:cols w:equalWidth="0" w:num="1">
            <w:col w:w="10239"/>
          </w:cols>
          <w:pgMar w:left="220" w:top="281" w:right="1440" w:bottom="13" w:gutter="0" w:footer="0" w:header="0"/>
        </w:sectPr>
      </w:pPr>
    </w:p>
    <w:bookmarkStart w:id="23" w:name="page24"/>
    <w:bookmarkEnd w:id="23"/>
    <w:p>
      <w:pPr>
        <w:ind w:left="202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9019"/>
          </w:cols>
          <w:pgMar w:left="1440" w:top="310" w:right="1440" w:bottom="1440" w:gutter="0" w:footer="0" w:header="0"/>
        </w:sectPr>
      </w:pPr>
    </w:p>
    <w:bookmarkStart w:id="24" w:name="page25"/>
    <w:bookmarkEnd w:id="24"/>
    <w:p>
      <w:pPr>
        <w:ind w:left="280"/>
        <w:spacing w:after="0"/>
        <w:rPr>
          <w:sz w:val="20"/>
          <w:szCs w:val="20"/>
          <w:color w:val="auto"/>
        </w:rPr>
      </w:pPr>
      <w:r>
        <w:rPr>
          <w:rFonts w:ascii="Courier New" w:cs="Courier New" w:eastAsia="Courier New" w:hAnsi="Courier New"/>
          <w:sz w:val="15"/>
          <w:szCs w:val="15"/>
          <w:color w:val="auto"/>
        </w:rPr>
        <w:t>22</w:t>
      </w:r>
    </w:p>
    <w:p>
      <w:pPr>
        <w:spacing w:after="0" w:line="166" w:lineRule="exact"/>
        <w:rPr>
          <w:sz w:val="20"/>
          <w:szCs w:val="20"/>
          <w:color w:val="auto"/>
        </w:rPr>
      </w:pPr>
    </w:p>
    <w:p>
      <w:pPr>
        <w:jc w:val="center"/>
        <w:ind w:right="4620"/>
        <w:spacing w:after="0"/>
        <w:rPr>
          <w:sz w:val="20"/>
          <w:szCs w:val="20"/>
          <w:color w:val="auto"/>
        </w:rPr>
      </w:pPr>
      <w:r>
        <w:rPr>
          <w:rFonts w:ascii="Courier New" w:cs="Courier New" w:eastAsia="Courier New" w:hAnsi="Courier New"/>
          <w:sz w:val="15"/>
          <w:szCs w:val="15"/>
          <w:color w:val="auto"/>
        </w:rPr>
        <w:t>GENTEX CORPORATION AND SUBSIDIARIES</w:t>
      </w:r>
    </w:p>
    <w:p>
      <w:pPr>
        <w:spacing w:after="0" w:line="166" w:lineRule="exact"/>
        <w:rPr>
          <w:sz w:val="20"/>
          <w:szCs w:val="20"/>
          <w:color w:val="auto"/>
        </w:rPr>
      </w:pPr>
    </w:p>
    <w:p>
      <w:pPr>
        <w:jc w:val="center"/>
        <w:ind w:right="4620"/>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166"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FOR THE YEARS ENDED DECEMBER 31, 1997, 1996, AND 1995</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040" w:type="dxa"/>
            <w:vAlign w:val="bottom"/>
          </w:tcPr>
          <w:p>
            <w:pPr>
              <w:spacing w:after="0"/>
              <w:rPr>
                <w:sz w:val="14"/>
                <w:szCs w:val="14"/>
                <w:color w:val="auto"/>
              </w:rPr>
            </w:pPr>
          </w:p>
        </w:tc>
        <w:tc>
          <w:tcPr>
            <w:tcW w:w="268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1997</w:t>
            </w:r>
          </w:p>
        </w:tc>
        <w:tc>
          <w:tcPr>
            <w:tcW w:w="1560" w:type="dxa"/>
            <w:vAlign w:val="bottom"/>
          </w:tcPr>
          <w:p>
            <w:pPr>
              <w:jc w:val="right"/>
              <w:ind w:right="567"/>
              <w:spacing w:after="0"/>
              <w:rPr>
                <w:sz w:val="20"/>
                <w:szCs w:val="20"/>
                <w:color w:val="auto"/>
              </w:rPr>
            </w:pPr>
            <w:r>
              <w:rPr>
                <w:rFonts w:ascii="Courier New" w:cs="Courier New" w:eastAsia="Courier New" w:hAnsi="Courier New"/>
                <w:sz w:val="15"/>
                <w:szCs w:val="15"/>
                <w:color w:val="auto"/>
              </w:rPr>
              <w:t>1996</w:t>
            </w: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1995</w:t>
            </w:r>
          </w:p>
        </w:tc>
      </w:tr>
      <w:tr>
        <w:trPr>
          <w:trHeight w:val="168"/>
        </w:trPr>
        <w:tc>
          <w:tcPr>
            <w:tcW w:w="6040" w:type="dxa"/>
            <w:vAlign w:val="bottom"/>
          </w:tcPr>
          <w:p>
            <w:pPr>
              <w:spacing w:after="0"/>
              <w:rPr>
                <w:sz w:val="14"/>
                <w:szCs w:val="14"/>
                <w:color w:val="auto"/>
              </w:rPr>
            </w:pPr>
          </w:p>
        </w:tc>
        <w:tc>
          <w:tcPr>
            <w:tcW w:w="26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04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26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8"/>
        </w:trPr>
        <w:tc>
          <w:tcPr>
            <w:tcW w:w="60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Net income</w:t>
            </w:r>
          </w:p>
        </w:tc>
        <w:tc>
          <w:tcPr>
            <w:tcW w:w="26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$35,230,224</w:t>
            </w:r>
          </w:p>
        </w:tc>
        <w:tc>
          <w:tcPr>
            <w:tcW w:w="15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$23,963,395</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$18,895,143</w:t>
            </w:r>
          </w:p>
        </w:tc>
      </w:tr>
      <w:tr>
        <w:trPr>
          <w:trHeight w:val="168"/>
        </w:trPr>
        <w:tc>
          <w:tcPr>
            <w:tcW w:w="60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Adjustments to reconcile net income to net</w:t>
            </w:r>
          </w:p>
        </w:tc>
        <w:tc>
          <w:tcPr>
            <w:tcW w:w="26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604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cash provided by operating activities-</w:t>
            </w:r>
          </w:p>
        </w:tc>
        <w:tc>
          <w:tcPr>
            <w:tcW w:w="26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6040" w:type="dxa"/>
            <w:vAlign w:val="bottom"/>
          </w:tcPr>
          <w:p>
            <w:pPr>
              <w:ind w:left="150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26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6,418,312</w:t>
            </w:r>
          </w:p>
        </w:tc>
        <w:tc>
          <w:tcPr>
            <w:tcW w:w="15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3,918,515</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3,201,847</w:t>
            </w:r>
          </w:p>
        </w:tc>
      </w:tr>
      <w:tr>
        <w:trPr>
          <w:trHeight w:val="168"/>
        </w:trPr>
        <w:tc>
          <w:tcPr>
            <w:tcW w:w="6040" w:type="dxa"/>
            <w:vAlign w:val="bottom"/>
          </w:tcPr>
          <w:p>
            <w:pPr>
              <w:ind w:left="1500"/>
              <w:spacing w:after="0" w:line="168" w:lineRule="exact"/>
              <w:rPr>
                <w:sz w:val="20"/>
                <w:szCs w:val="20"/>
                <w:color w:val="auto"/>
              </w:rPr>
            </w:pPr>
            <w:r>
              <w:rPr>
                <w:rFonts w:ascii="Courier New" w:cs="Courier New" w:eastAsia="Courier New" w:hAnsi="Courier New"/>
                <w:sz w:val="15"/>
                <w:szCs w:val="15"/>
                <w:color w:val="auto"/>
              </w:rPr>
              <w:t>Loss on disposal of equipment</w:t>
            </w:r>
          </w:p>
        </w:tc>
        <w:tc>
          <w:tcPr>
            <w:tcW w:w="26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82,862</w:t>
            </w:r>
          </w:p>
        </w:tc>
        <w:tc>
          <w:tcPr>
            <w:tcW w:w="15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47,949</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11,937</w:t>
            </w:r>
          </w:p>
        </w:tc>
      </w:tr>
      <w:tr>
        <w:trPr>
          <w:trHeight w:val="168"/>
        </w:trPr>
        <w:tc>
          <w:tcPr>
            <w:tcW w:w="6040" w:type="dxa"/>
            <w:vAlign w:val="bottom"/>
          </w:tcPr>
          <w:p>
            <w:pPr>
              <w:ind w:left="1500"/>
              <w:spacing w:after="0" w:line="168" w:lineRule="exact"/>
              <w:rPr>
                <w:sz w:val="20"/>
                <w:szCs w:val="20"/>
                <w:color w:val="auto"/>
              </w:rPr>
            </w:pPr>
            <w:r>
              <w:rPr>
                <w:rFonts w:ascii="Courier New" w:cs="Courier New" w:eastAsia="Courier New" w:hAnsi="Courier New"/>
                <w:sz w:val="15"/>
                <w:szCs w:val="15"/>
                <w:color w:val="auto"/>
              </w:rPr>
              <w:t>Loss (gain) on sale of investments</w:t>
            </w:r>
          </w:p>
        </w:tc>
        <w:tc>
          <w:tcPr>
            <w:tcW w:w="26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(8,102)</w:t>
            </w:r>
          </w:p>
        </w:tc>
        <w:tc>
          <w:tcPr>
            <w:tcW w:w="15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39,295</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40" w:type="dxa"/>
            <w:vAlign w:val="bottom"/>
          </w:tcPr>
          <w:p>
            <w:pPr>
              <w:ind w:left="1500"/>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26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(289,734)</w:t>
            </w:r>
          </w:p>
        </w:tc>
        <w:tc>
          <w:tcPr>
            <w:tcW w:w="15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1,072,582</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(142,930)</w:t>
            </w:r>
          </w:p>
        </w:tc>
      </w:tr>
      <w:tr>
        <w:trPr>
          <w:trHeight w:val="168"/>
        </w:trPr>
        <w:tc>
          <w:tcPr>
            <w:tcW w:w="6040" w:type="dxa"/>
            <w:vAlign w:val="bottom"/>
          </w:tcPr>
          <w:p>
            <w:pPr>
              <w:ind w:left="1500"/>
              <w:spacing w:after="0" w:line="168" w:lineRule="exact"/>
              <w:rPr>
                <w:sz w:val="20"/>
                <w:szCs w:val="20"/>
                <w:color w:val="auto"/>
              </w:rPr>
            </w:pPr>
            <w:r>
              <w:rPr>
                <w:rFonts w:ascii="Courier New" w:cs="Courier New" w:eastAsia="Courier New" w:hAnsi="Courier New"/>
                <w:sz w:val="15"/>
                <w:szCs w:val="15"/>
                <w:color w:val="auto"/>
              </w:rPr>
              <w:t>Amortization of deferred compensation</w:t>
            </w:r>
          </w:p>
        </w:tc>
        <w:tc>
          <w:tcPr>
            <w:tcW w:w="26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590,060</w:t>
            </w:r>
          </w:p>
        </w:tc>
        <w:tc>
          <w:tcPr>
            <w:tcW w:w="15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547,821</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337,427</w:t>
            </w:r>
          </w:p>
        </w:tc>
      </w:tr>
      <w:tr>
        <w:trPr>
          <w:trHeight w:val="168"/>
        </w:trPr>
        <w:tc>
          <w:tcPr>
            <w:tcW w:w="6040" w:type="dxa"/>
            <w:vAlign w:val="bottom"/>
          </w:tcPr>
          <w:p>
            <w:pPr>
              <w:ind w:left="1500"/>
              <w:spacing w:after="0" w:line="168" w:lineRule="exact"/>
              <w:rPr>
                <w:sz w:val="20"/>
                <w:szCs w:val="20"/>
                <w:color w:val="auto"/>
              </w:rPr>
            </w:pPr>
            <w:r>
              <w:rPr>
                <w:rFonts w:ascii="Courier New" w:cs="Courier New" w:eastAsia="Courier New" w:hAnsi="Courier New"/>
                <w:sz w:val="15"/>
                <w:szCs w:val="15"/>
                <w:color w:val="auto"/>
              </w:rPr>
              <w:t>Change in assets and liabilities:</w:t>
            </w:r>
          </w:p>
        </w:tc>
        <w:tc>
          <w:tcPr>
            <w:tcW w:w="26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6040" w:type="dxa"/>
            <w:vAlign w:val="bottom"/>
          </w:tcPr>
          <w:p>
            <w:pPr>
              <w:ind w:left="1840"/>
              <w:spacing w:after="0" w:line="168" w:lineRule="exact"/>
              <w:rPr>
                <w:sz w:val="20"/>
                <w:szCs w:val="20"/>
                <w:color w:val="auto"/>
              </w:rPr>
            </w:pPr>
            <w:r>
              <w:rPr>
                <w:rFonts w:ascii="Courier New" w:cs="Courier New" w:eastAsia="Courier New" w:hAnsi="Courier New"/>
                <w:sz w:val="15"/>
                <w:szCs w:val="15"/>
                <w:color w:val="auto"/>
              </w:rPr>
              <w:t>Accounts receivable, net</w:t>
            </w:r>
          </w:p>
        </w:tc>
        <w:tc>
          <w:tcPr>
            <w:tcW w:w="26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(7,500,351)</w:t>
            </w:r>
          </w:p>
        </w:tc>
        <w:tc>
          <w:tcPr>
            <w:tcW w:w="15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(2,309,018)</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(3,619,176)</w:t>
            </w:r>
          </w:p>
        </w:tc>
      </w:tr>
      <w:tr>
        <w:trPr>
          <w:trHeight w:val="168"/>
        </w:trPr>
        <w:tc>
          <w:tcPr>
            <w:tcW w:w="6040" w:type="dxa"/>
            <w:vAlign w:val="bottom"/>
          </w:tcPr>
          <w:p>
            <w:pPr>
              <w:ind w:left="1840"/>
              <w:spacing w:after="0" w:line="168" w:lineRule="exact"/>
              <w:rPr>
                <w:sz w:val="20"/>
                <w:szCs w:val="20"/>
                <w:color w:val="auto"/>
              </w:rPr>
            </w:pPr>
            <w:r>
              <w:rPr>
                <w:rFonts w:ascii="Courier New" w:cs="Courier New" w:eastAsia="Courier New" w:hAnsi="Courier New"/>
                <w:sz w:val="15"/>
                <w:szCs w:val="15"/>
                <w:color w:val="auto"/>
              </w:rPr>
              <w:t>Inventories</w:t>
            </w:r>
          </w:p>
        </w:tc>
        <w:tc>
          <w:tcPr>
            <w:tcW w:w="26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(2,607,267)</w:t>
            </w:r>
          </w:p>
        </w:tc>
        <w:tc>
          <w:tcPr>
            <w:tcW w:w="15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(444,903)</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(431,967)</w:t>
            </w:r>
          </w:p>
        </w:tc>
      </w:tr>
      <w:tr>
        <w:trPr>
          <w:trHeight w:val="168"/>
        </w:trPr>
        <w:tc>
          <w:tcPr>
            <w:tcW w:w="6040" w:type="dxa"/>
            <w:vAlign w:val="bottom"/>
          </w:tcPr>
          <w:p>
            <w:pPr>
              <w:ind w:left="1840"/>
              <w:spacing w:after="0" w:line="168" w:lineRule="exact"/>
              <w:rPr>
                <w:sz w:val="20"/>
                <w:szCs w:val="20"/>
                <w:color w:val="auto"/>
              </w:rPr>
            </w:pPr>
            <w:r>
              <w:rPr>
                <w:rFonts w:ascii="Courier New" w:cs="Courier New" w:eastAsia="Courier New" w:hAnsi="Courier New"/>
                <w:sz w:val="15"/>
                <w:szCs w:val="15"/>
                <w:color w:val="auto"/>
              </w:rPr>
              <w:t>Prepaid expenses and other</w:t>
            </w:r>
          </w:p>
        </w:tc>
        <w:tc>
          <w:tcPr>
            <w:tcW w:w="26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(152,724)</w:t>
            </w:r>
          </w:p>
        </w:tc>
        <w:tc>
          <w:tcPr>
            <w:tcW w:w="15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(184,625)</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(91,962)</w:t>
            </w:r>
          </w:p>
        </w:tc>
      </w:tr>
      <w:tr>
        <w:trPr>
          <w:trHeight w:val="168"/>
        </w:trPr>
        <w:tc>
          <w:tcPr>
            <w:tcW w:w="6040" w:type="dxa"/>
            <w:vAlign w:val="bottom"/>
          </w:tcPr>
          <w:p>
            <w:pPr>
              <w:ind w:left="1840"/>
              <w:spacing w:after="0" w:line="168" w:lineRule="exact"/>
              <w:rPr>
                <w:sz w:val="20"/>
                <w:szCs w:val="20"/>
                <w:color w:val="auto"/>
              </w:rPr>
            </w:pPr>
            <w:r>
              <w:rPr>
                <w:rFonts w:ascii="Courier New" w:cs="Courier New" w:eastAsia="Courier New" w:hAnsi="Courier New"/>
                <w:sz w:val="15"/>
                <w:szCs w:val="15"/>
                <w:color w:val="auto"/>
              </w:rPr>
              <w:t>Accounts payable</w:t>
            </w:r>
          </w:p>
        </w:tc>
        <w:tc>
          <w:tcPr>
            <w:tcW w:w="26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2,965,424</w:t>
            </w:r>
          </w:p>
        </w:tc>
        <w:tc>
          <w:tcPr>
            <w:tcW w:w="15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372,174</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1,307,267</w:t>
            </w:r>
          </w:p>
        </w:tc>
      </w:tr>
      <w:tr>
        <w:trPr>
          <w:trHeight w:val="168"/>
        </w:trPr>
        <w:tc>
          <w:tcPr>
            <w:tcW w:w="6040" w:type="dxa"/>
            <w:vAlign w:val="bottom"/>
          </w:tcPr>
          <w:p>
            <w:pPr>
              <w:ind w:left="1840"/>
              <w:spacing w:after="0" w:line="168" w:lineRule="exact"/>
              <w:rPr>
                <w:sz w:val="20"/>
                <w:szCs w:val="20"/>
                <w:color w:val="auto"/>
              </w:rPr>
            </w:pPr>
            <w:r>
              <w:rPr>
                <w:rFonts w:ascii="Courier New" w:cs="Courier New" w:eastAsia="Courier New" w:hAnsi="Courier New"/>
                <w:sz w:val="15"/>
                <w:szCs w:val="15"/>
                <w:color w:val="auto"/>
              </w:rPr>
              <w:t>Accrued liabilities</w:t>
            </w:r>
          </w:p>
        </w:tc>
        <w:tc>
          <w:tcPr>
            <w:tcW w:w="26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264,883</w:t>
            </w:r>
          </w:p>
        </w:tc>
        <w:tc>
          <w:tcPr>
            <w:tcW w:w="15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(3,061,324)</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3,757,174</w:t>
            </w:r>
          </w:p>
        </w:tc>
      </w:tr>
      <w:tr>
        <w:trPr>
          <w:trHeight w:val="168"/>
        </w:trPr>
        <w:tc>
          <w:tcPr>
            <w:tcW w:w="6040" w:type="dxa"/>
            <w:vAlign w:val="bottom"/>
          </w:tcPr>
          <w:p>
            <w:pPr>
              <w:spacing w:after="0"/>
              <w:rPr>
                <w:sz w:val="14"/>
                <w:szCs w:val="14"/>
                <w:color w:val="auto"/>
              </w:rPr>
            </w:pPr>
          </w:p>
        </w:tc>
        <w:tc>
          <w:tcPr>
            <w:tcW w:w="26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40" w:type="dxa"/>
            <w:vAlign w:val="bottom"/>
          </w:tcPr>
          <w:p>
            <w:pPr>
              <w:ind w:left="2460"/>
              <w:spacing w:after="0" w:line="168" w:lineRule="exact"/>
              <w:rPr>
                <w:sz w:val="20"/>
                <w:szCs w:val="20"/>
                <w:color w:val="auto"/>
              </w:rPr>
            </w:pPr>
            <w:r>
              <w:rPr>
                <w:rFonts w:ascii="Courier New" w:cs="Courier New" w:eastAsia="Courier New" w:hAnsi="Courier New"/>
                <w:sz w:val="15"/>
                <w:szCs w:val="15"/>
                <w:color w:val="auto"/>
              </w:rPr>
              <w:t>Net cash provided by</w:t>
            </w:r>
          </w:p>
        </w:tc>
        <w:tc>
          <w:tcPr>
            <w:tcW w:w="26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6040" w:type="dxa"/>
            <w:vAlign w:val="bottom"/>
          </w:tcPr>
          <w:p>
            <w:pPr>
              <w:ind w:left="2720"/>
              <w:spacing w:after="0" w:line="168" w:lineRule="exact"/>
              <w:rPr>
                <w:sz w:val="20"/>
                <w:szCs w:val="20"/>
                <w:color w:val="auto"/>
              </w:rPr>
            </w:pPr>
            <w:r>
              <w:rPr>
                <w:rFonts w:ascii="Courier New" w:cs="Courier New" w:eastAsia="Courier New" w:hAnsi="Courier New"/>
                <w:sz w:val="15"/>
                <w:szCs w:val="15"/>
                <w:color w:val="auto"/>
              </w:rPr>
              <w:t>operating activities</w:t>
            </w:r>
          </w:p>
        </w:tc>
        <w:tc>
          <w:tcPr>
            <w:tcW w:w="26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34,993,587</w:t>
            </w:r>
          </w:p>
        </w:tc>
        <w:tc>
          <w:tcPr>
            <w:tcW w:w="15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23,961,861</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23,224,760</w:t>
            </w:r>
          </w:p>
        </w:tc>
      </w:tr>
      <w:tr>
        <w:trPr>
          <w:trHeight w:val="168"/>
        </w:trPr>
        <w:tc>
          <w:tcPr>
            <w:tcW w:w="6040" w:type="dxa"/>
            <w:vAlign w:val="bottom"/>
          </w:tcPr>
          <w:p>
            <w:pPr>
              <w:spacing w:after="0"/>
              <w:rPr>
                <w:sz w:val="14"/>
                <w:szCs w:val="14"/>
                <w:color w:val="auto"/>
              </w:rPr>
            </w:pPr>
          </w:p>
        </w:tc>
        <w:tc>
          <w:tcPr>
            <w:tcW w:w="26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4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FLOWS FROM INVESTING ACTIVITIES:</w:t>
            </w:r>
          </w:p>
        </w:tc>
        <w:tc>
          <w:tcPr>
            <w:tcW w:w="26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60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Activity in Held-To-Maturity Securities</w:t>
            </w:r>
          </w:p>
        </w:tc>
        <w:tc>
          <w:tcPr>
            <w:tcW w:w="26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604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Maturities and Calls</w:t>
            </w:r>
          </w:p>
        </w:tc>
        <w:tc>
          <w:tcPr>
            <w:tcW w:w="26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24,765,464</w:t>
            </w:r>
          </w:p>
        </w:tc>
        <w:tc>
          <w:tcPr>
            <w:tcW w:w="15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28,840,879</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12,696,750</w:t>
            </w:r>
          </w:p>
        </w:tc>
      </w:tr>
      <w:tr>
        <w:trPr>
          <w:trHeight w:val="168"/>
        </w:trPr>
        <w:tc>
          <w:tcPr>
            <w:tcW w:w="604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Purchases</w:t>
            </w:r>
          </w:p>
        </w:tc>
        <w:tc>
          <w:tcPr>
            <w:tcW w:w="26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(28,324,553)</w:t>
            </w:r>
          </w:p>
        </w:tc>
        <w:tc>
          <w:tcPr>
            <w:tcW w:w="15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(34,915,969)</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(30,170,062)</w:t>
            </w:r>
          </w:p>
        </w:tc>
      </w:tr>
      <w:tr>
        <w:trPr>
          <w:trHeight w:val="168"/>
        </w:trPr>
        <w:tc>
          <w:tcPr>
            <w:tcW w:w="60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Activity in Available-For-Sale Securities</w:t>
            </w:r>
          </w:p>
        </w:tc>
        <w:tc>
          <w:tcPr>
            <w:tcW w:w="26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604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Sales Proceeds</w:t>
            </w:r>
          </w:p>
        </w:tc>
        <w:tc>
          <w:tcPr>
            <w:tcW w:w="26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12,475,160</w:t>
            </w:r>
          </w:p>
        </w:tc>
        <w:tc>
          <w:tcPr>
            <w:tcW w:w="15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1,123,053</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4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Purchases</w:t>
            </w:r>
          </w:p>
        </w:tc>
        <w:tc>
          <w:tcPr>
            <w:tcW w:w="26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(25,822,809)</w:t>
            </w:r>
          </w:p>
        </w:tc>
        <w:tc>
          <w:tcPr>
            <w:tcW w:w="15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(8,011,758)</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(450,735)</w:t>
            </w:r>
          </w:p>
        </w:tc>
      </w:tr>
      <w:tr>
        <w:trPr>
          <w:trHeight w:val="168"/>
        </w:trPr>
        <w:tc>
          <w:tcPr>
            <w:tcW w:w="60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Plant and equipment additions</w:t>
            </w:r>
          </w:p>
        </w:tc>
        <w:tc>
          <w:tcPr>
            <w:tcW w:w="26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(16,383,089)</w:t>
            </w:r>
          </w:p>
        </w:tc>
        <w:tc>
          <w:tcPr>
            <w:tcW w:w="15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(16,424,358)</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(4,861,930)</w:t>
            </w:r>
          </w:p>
        </w:tc>
      </w:tr>
      <w:tr>
        <w:trPr>
          <w:trHeight w:val="168"/>
        </w:trPr>
        <w:tc>
          <w:tcPr>
            <w:tcW w:w="60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Proceeds from sale of plant and equipment</w:t>
            </w:r>
          </w:p>
        </w:tc>
        <w:tc>
          <w:tcPr>
            <w:tcW w:w="26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316,270</w:t>
            </w:r>
          </w:p>
        </w:tc>
        <w:tc>
          <w:tcPr>
            <w:tcW w:w="15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11,943</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7,450</w:t>
            </w:r>
          </w:p>
        </w:tc>
      </w:tr>
      <w:tr>
        <w:trPr>
          <w:trHeight w:val="168"/>
        </w:trPr>
        <w:tc>
          <w:tcPr>
            <w:tcW w:w="60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Increase in other assets</w:t>
            </w:r>
          </w:p>
        </w:tc>
        <w:tc>
          <w:tcPr>
            <w:tcW w:w="26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(289,920)</w:t>
            </w:r>
          </w:p>
        </w:tc>
        <w:tc>
          <w:tcPr>
            <w:tcW w:w="15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(246,875)</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(1,631,256)</w:t>
            </w:r>
          </w:p>
        </w:tc>
      </w:tr>
      <w:tr>
        <w:trPr>
          <w:trHeight w:val="168"/>
        </w:trPr>
        <w:tc>
          <w:tcPr>
            <w:tcW w:w="6040" w:type="dxa"/>
            <w:vAlign w:val="bottom"/>
          </w:tcPr>
          <w:p>
            <w:pPr>
              <w:spacing w:after="0"/>
              <w:rPr>
                <w:sz w:val="14"/>
                <w:szCs w:val="14"/>
                <w:color w:val="auto"/>
              </w:rPr>
            </w:pPr>
          </w:p>
        </w:tc>
        <w:tc>
          <w:tcPr>
            <w:tcW w:w="26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40" w:type="dxa"/>
            <w:vAlign w:val="bottom"/>
          </w:tcPr>
          <w:p>
            <w:pPr>
              <w:ind w:left="2460"/>
              <w:spacing w:after="0" w:line="168" w:lineRule="exact"/>
              <w:rPr>
                <w:sz w:val="20"/>
                <w:szCs w:val="20"/>
                <w:color w:val="auto"/>
              </w:rPr>
            </w:pPr>
            <w:r>
              <w:rPr>
                <w:rFonts w:ascii="Courier New" w:cs="Courier New" w:eastAsia="Courier New" w:hAnsi="Courier New"/>
                <w:sz w:val="15"/>
                <w:szCs w:val="15"/>
                <w:color w:val="auto"/>
              </w:rPr>
              <w:t>Net cash used for</w:t>
            </w:r>
          </w:p>
        </w:tc>
        <w:tc>
          <w:tcPr>
            <w:tcW w:w="26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6040" w:type="dxa"/>
            <w:vAlign w:val="bottom"/>
          </w:tcPr>
          <w:p>
            <w:pPr>
              <w:ind w:left="2720"/>
              <w:spacing w:after="0" w:line="168" w:lineRule="exact"/>
              <w:rPr>
                <w:sz w:val="20"/>
                <w:szCs w:val="20"/>
                <w:color w:val="auto"/>
              </w:rPr>
            </w:pPr>
            <w:r>
              <w:rPr>
                <w:rFonts w:ascii="Courier New" w:cs="Courier New" w:eastAsia="Courier New" w:hAnsi="Courier New"/>
                <w:sz w:val="15"/>
                <w:szCs w:val="15"/>
                <w:color w:val="auto"/>
              </w:rPr>
              <w:t>investing activities</w:t>
            </w:r>
          </w:p>
        </w:tc>
        <w:tc>
          <w:tcPr>
            <w:tcW w:w="26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(33,263,477)</w:t>
            </w:r>
          </w:p>
        </w:tc>
        <w:tc>
          <w:tcPr>
            <w:tcW w:w="15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(29,623,085)</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(24,409,783)</w:t>
            </w:r>
          </w:p>
        </w:tc>
      </w:tr>
      <w:tr>
        <w:trPr>
          <w:trHeight w:val="168"/>
        </w:trPr>
        <w:tc>
          <w:tcPr>
            <w:tcW w:w="6040" w:type="dxa"/>
            <w:vAlign w:val="bottom"/>
          </w:tcPr>
          <w:p>
            <w:pPr>
              <w:spacing w:after="0"/>
              <w:rPr>
                <w:sz w:val="14"/>
                <w:szCs w:val="14"/>
                <w:color w:val="auto"/>
              </w:rPr>
            </w:pPr>
          </w:p>
        </w:tc>
        <w:tc>
          <w:tcPr>
            <w:tcW w:w="26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4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FLOWS FROM FINANCING ACTIVITIES:</w:t>
            </w:r>
          </w:p>
        </w:tc>
        <w:tc>
          <w:tcPr>
            <w:tcW w:w="26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60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Issuance of common stock and tax benefit of</w:t>
            </w:r>
          </w:p>
        </w:tc>
        <w:tc>
          <w:tcPr>
            <w:tcW w:w="26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604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stock plan transactions</w:t>
            </w:r>
          </w:p>
        </w:tc>
        <w:tc>
          <w:tcPr>
            <w:tcW w:w="26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8,308,181</w:t>
            </w:r>
          </w:p>
        </w:tc>
        <w:tc>
          <w:tcPr>
            <w:tcW w:w="15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8,276,539</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4,116,073</w:t>
            </w:r>
          </w:p>
        </w:tc>
      </w:tr>
      <w:tr>
        <w:trPr>
          <w:trHeight w:val="168"/>
        </w:trPr>
        <w:tc>
          <w:tcPr>
            <w:tcW w:w="6040" w:type="dxa"/>
            <w:vAlign w:val="bottom"/>
          </w:tcPr>
          <w:p>
            <w:pPr>
              <w:spacing w:after="0"/>
              <w:rPr>
                <w:sz w:val="14"/>
                <w:szCs w:val="14"/>
                <w:color w:val="auto"/>
              </w:rPr>
            </w:pPr>
          </w:p>
        </w:tc>
        <w:tc>
          <w:tcPr>
            <w:tcW w:w="26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40" w:type="dxa"/>
            <w:vAlign w:val="bottom"/>
          </w:tcPr>
          <w:p>
            <w:pPr>
              <w:ind w:left="2460"/>
              <w:spacing w:after="0" w:line="168" w:lineRule="exact"/>
              <w:rPr>
                <w:sz w:val="20"/>
                <w:szCs w:val="20"/>
                <w:color w:val="auto"/>
              </w:rPr>
            </w:pPr>
            <w:r>
              <w:rPr>
                <w:rFonts w:ascii="Courier New" w:cs="Courier New" w:eastAsia="Courier New" w:hAnsi="Courier New"/>
                <w:sz w:val="15"/>
                <w:szCs w:val="15"/>
                <w:color w:val="auto"/>
              </w:rPr>
              <w:t>Net cash provided by</w:t>
            </w:r>
          </w:p>
        </w:tc>
        <w:tc>
          <w:tcPr>
            <w:tcW w:w="26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6040" w:type="dxa"/>
            <w:vAlign w:val="bottom"/>
          </w:tcPr>
          <w:p>
            <w:pPr>
              <w:ind w:left="2720"/>
              <w:spacing w:after="0" w:line="168" w:lineRule="exact"/>
              <w:rPr>
                <w:sz w:val="20"/>
                <w:szCs w:val="20"/>
                <w:color w:val="auto"/>
              </w:rPr>
            </w:pPr>
            <w:r>
              <w:rPr>
                <w:rFonts w:ascii="Courier New" w:cs="Courier New" w:eastAsia="Courier New" w:hAnsi="Courier New"/>
                <w:sz w:val="15"/>
                <w:szCs w:val="15"/>
                <w:color w:val="auto"/>
              </w:rPr>
              <w:t>financing activities</w:t>
            </w:r>
          </w:p>
        </w:tc>
        <w:tc>
          <w:tcPr>
            <w:tcW w:w="26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8,308,181</w:t>
            </w:r>
          </w:p>
        </w:tc>
        <w:tc>
          <w:tcPr>
            <w:tcW w:w="15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8,276,539</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4,116,073</w:t>
            </w:r>
          </w:p>
        </w:tc>
      </w:tr>
      <w:tr>
        <w:trPr>
          <w:trHeight w:val="168"/>
        </w:trPr>
        <w:tc>
          <w:tcPr>
            <w:tcW w:w="6040" w:type="dxa"/>
            <w:vAlign w:val="bottom"/>
          </w:tcPr>
          <w:p>
            <w:pPr>
              <w:spacing w:after="0"/>
              <w:rPr>
                <w:sz w:val="14"/>
                <w:szCs w:val="14"/>
                <w:color w:val="auto"/>
              </w:rPr>
            </w:pPr>
          </w:p>
        </w:tc>
        <w:tc>
          <w:tcPr>
            <w:tcW w:w="26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INCREASE IN CASH AND</w:t>
            </w:r>
          </w:p>
        </w:tc>
        <w:tc>
          <w:tcPr>
            <w:tcW w:w="26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60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CASH EQUIVALENTS</w:t>
            </w:r>
          </w:p>
        </w:tc>
        <w:tc>
          <w:tcPr>
            <w:tcW w:w="26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10,038,291</w:t>
            </w:r>
          </w:p>
        </w:tc>
        <w:tc>
          <w:tcPr>
            <w:tcW w:w="15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2,615,315</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2,931,050</w:t>
            </w:r>
          </w:p>
        </w:tc>
      </w:tr>
      <w:tr>
        <w:trPr>
          <w:trHeight w:val="336"/>
        </w:trPr>
        <w:tc>
          <w:tcPr>
            <w:tcW w:w="6040" w:type="dxa"/>
            <w:vAlign w:val="bottom"/>
          </w:tcPr>
          <w:p>
            <w:pPr>
              <w:spacing w:after="0"/>
              <w:rPr>
                <w:sz w:val="20"/>
                <w:szCs w:val="20"/>
                <w:color w:val="auto"/>
              </w:rPr>
            </w:pPr>
            <w:r>
              <w:rPr>
                <w:rFonts w:ascii="Courier New" w:cs="Courier New" w:eastAsia="Courier New" w:hAnsi="Courier New"/>
                <w:sz w:val="15"/>
                <w:szCs w:val="15"/>
                <w:color w:val="auto"/>
              </w:rPr>
              <w:t>CASH AND CASH EQUIVALENTS,</w:t>
            </w:r>
          </w:p>
        </w:tc>
        <w:tc>
          <w:tcPr>
            <w:tcW w:w="26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8"/>
        </w:trPr>
        <w:tc>
          <w:tcPr>
            <w:tcW w:w="60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beginning of year</w:t>
            </w:r>
          </w:p>
        </w:tc>
        <w:tc>
          <w:tcPr>
            <w:tcW w:w="26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16,730,356</w:t>
            </w:r>
          </w:p>
        </w:tc>
        <w:tc>
          <w:tcPr>
            <w:tcW w:w="15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14,115,041</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11,183,991</w:t>
            </w:r>
          </w:p>
        </w:tc>
      </w:tr>
      <w:tr>
        <w:trPr>
          <w:trHeight w:val="168"/>
        </w:trPr>
        <w:tc>
          <w:tcPr>
            <w:tcW w:w="6040" w:type="dxa"/>
            <w:vAlign w:val="bottom"/>
          </w:tcPr>
          <w:p>
            <w:pPr>
              <w:spacing w:after="0"/>
              <w:rPr>
                <w:sz w:val="14"/>
                <w:szCs w:val="14"/>
                <w:color w:val="auto"/>
              </w:rPr>
            </w:pPr>
          </w:p>
        </w:tc>
        <w:tc>
          <w:tcPr>
            <w:tcW w:w="26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4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26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60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end of year</w:t>
            </w:r>
          </w:p>
        </w:tc>
        <w:tc>
          <w:tcPr>
            <w:tcW w:w="26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$26,768,647</w:t>
            </w:r>
          </w:p>
        </w:tc>
        <w:tc>
          <w:tcPr>
            <w:tcW w:w="15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$16,730,356</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$14,115,041</w:t>
            </w:r>
          </w:p>
        </w:tc>
      </w:tr>
      <w:tr>
        <w:trPr>
          <w:trHeight w:val="168"/>
        </w:trPr>
        <w:tc>
          <w:tcPr>
            <w:tcW w:w="6040" w:type="dxa"/>
            <w:vAlign w:val="bottom"/>
          </w:tcPr>
          <w:p>
            <w:pPr>
              <w:spacing w:after="0"/>
              <w:rPr>
                <w:sz w:val="14"/>
                <w:szCs w:val="14"/>
                <w:color w:val="auto"/>
              </w:rPr>
            </w:pPr>
          </w:p>
        </w:tc>
        <w:tc>
          <w:tcPr>
            <w:tcW w:w="26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4620"/>
        <w:spacing w:after="0"/>
        <w:rPr>
          <w:sz w:val="20"/>
          <w:szCs w:val="20"/>
          <w:color w:val="auto"/>
        </w:rPr>
      </w:pPr>
      <w:r>
        <w:rPr>
          <w:rFonts w:ascii="Courier New" w:cs="Courier New" w:eastAsia="Courier New" w:hAnsi="Courier New"/>
          <w:sz w:val="15"/>
          <w:szCs w:val="15"/>
          <w:color w:val="auto"/>
        </w:rPr>
        <w:t>The accompanying notes are an integral part of these consolidated financial</w:t>
      </w:r>
    </w:p>
    <w:p>
      <w:pPr>
        <w:jc w:val="center"/>
        <w:ind w:right="4620"/>
        <w:spacing w:after="0" w:line="237" w:lineRule="auto"/>
        <w:rPr>
          <w:sz w:val="20"/>
          <w:szCs w:val="20"/>
          <w:color w:val="auto"/>
        </w:rPr>
      </w:pPr>
      <w:r>
        <w:rPr>
          <w:rFonts w:ascii="Courier New" w:cs="Courier New" w:eastAsia="Courier New" w:hAnsi="Courier New"/>
          <w:sz w:val="15"/>
          <w:szCs w:val="15"/>
          <w:color w:val="auto"/>
        </w:rPr>
        <w:t>statements.</w:t>
      </w:r>
    </w:p>
    <w:p>
      <w:pPr>
        <w:spacing w:after="0" w:line="200" w:lineRule="exact"/>
        <w:rPr>
          <w:sz w:val="20"/>
          <w:szCs w:val="20"/>
          <w:color w:val="auto"/>
        </w:rPr>
      </w:pPr>
    </w:p>
    <w:p>
      <w:pPr>
        <w:spacing w:after="0" w:line="30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1540"/>
          </w:cols>
          <w:pgMar w:left="220" w:top="281" w:right="139" w:bottom="1440" w:gutter="0" w:footer="0" w:header="0"/>
        </w:sectPr>
      </w:pPr>
    </w:p>
    <w:bookmarkStart w:id="25" w:name="page26"/>
    <w:bookmarkEnd w:id="25"/>
    <w:p>
      <w:pPr>
        <w:ind w:left="270"/>
        <w:spacing w:after="0"/>
        <w:rPr>
          <w:sz w:val="20"/>
          <w:szCs w:val="20"/>
          <w:color w:val="auto"/>
        </w:rPr>
      </w:pPr>
      <w:r>
        <w:rPr>
          <w:rFonts w:ascii="Courier New" w:cs="Courier New" w:eastAsia="Courier New" w:hAnsi="Courier New"/>
          <w:sz w:val="15"/>
          <w:szCs w:val="15"/>
          <w:color w:val="auto"/>
        </w:rPr>
        <w:t>23</w:t>
      </w:r>
    </w:p>
    <w:p>
      <w:pPr>
        <w:ind w:left="1930"/>
        <w:spacing w:after="0" w:line="237" w:lineRule="auto"/>
        <w:rPr>
          <w:sz w:val="20"/>
          <w:szCs w:val="20"/>
          <w:color w:val="auto"/>
        </w:rPr>
      </w:pPr>
      <w:r>
        <w:rPr>
          <w:rFonts w:ascii="Courier New" w:cs="Courier New" w:eastAsia="Courier New" w:hAnsi="Courier New"/>
          <w:sz w:val="15"/>
          <w:szCs w:val="15"/>
          <w:color w:val="auto"/>
        </w:rPr>
        <w:t>GENTEX CORPORATION AND SUBSIDIARIES</w:t>
      </w:r>
    </w:p>
    <w:p>
      <w:pPr>
        <w:ind w:left="1670"/>
        <w:spacing w:after="0" w:line="238" w:lineRule="auto"/>
        <w:rPr>
          <w:sz w:val="20"/>
          <w:szCs w:val="20"/>
          <w:color w:val="auto"/>
        </w:rPr>
      </w:pPr>
      <w:r>
        <w:rPr>
          <w:rFonts w:ascii="Courier New" w:cs="Courier New" w:eastAsia="Courier New" w:hAnsi="Courier New"/>
          <w:sz w:val="15"/>
          <w:szCs w:val="15"/>
          <w:color w:val="auto"/>
        </w:rPr>
        <w:t>NOTES TO CONSOLIDATED FINANCIAL STATEMENTS</w:t>
      </w:r>
    </w:p>
    <w:p>
      <w:pPr>
        <w:spacing w:after="0" w:line="173" w:lineRule="exact"/>
        <w:rPr>
          <w:sz w:val="20"/>
          <w:szCs w:val="20"/>
          <w:color w:val="auto"/>
        </w:rPr>
      </w:pPr>
    </w:p>
    <w:p>
      <w:pPr>
        <w:ind w:left="430" w:right="4899" w:hanging="430"/>
        <w:spacing w:after="0" w:line="465" w:lineRule="auto"/>
        <w:tabs>
          <w:tab w:leader="none" w:pos="43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AND REPORTING POLICIES The Company</w:t>
      </w:r>
    </w:p>
    <w:p>
      <w:pPr>
        <w:spacing w:after="0" w:line="14" w:lineRule="exact"/>
        <w:rPr>
          <w:rFonts w:ascii="Courier New" w:cs="Courier New" w:eastAsia="Courier New" w:hAnsi="Courier New"/>
          <w:sz w:val="15"/>
          <w:szCs w:val="15"/>
          <w:color w:val="auto"/>
        </w:rPr>
      </w:pPr>
    </w:p>
    <w:p>
      <w:pPr>
        <w:ind w:left="610" w:right="3319" w:hanging="175"/>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Gentex Corporation designs, develops, manufactures and markets two proprietary electro-optical product lines: automatic rearview mirrors for the automotive industry and fire protection products for the commercial building industry. A substantial portion of the Company's net sales and accounts receivable result from transactions with domestic and foreign automotive manufacturers and tier one suppliers. The Company's fire protection products are primarily sold to domestic distributors and original equipment manufacturers of fire and security systems.</w:t>
      </w:r>
    </w:p>
    <w:p>
      <w:pPr>
        <w:spacing w:after="0" w:line="178" w:lineRule="exact"/>
        <w:rPr>
          <w:rFonts w:ascii="Courier New" w:cs="Courier New" w:eastAsia="Courier New" w:hAnsi="Courier New"/>
          <w:sz w:val="15"/>
          <w:szCs w:val="15"/>
          <w:color w:val="auto"/>
        </w:rPr>
      </w:pPr>
    </w:p>
    <w:p>
      <w:pPr>
        <w:ind w:left="610" w:right="3319" w:hanging="175"/>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Significant accounting policies of the Company not described elsewhere are as follows:</w:t>
      </w:r>
    </w:p>
    <w:p>
      <w:pPr>
        <w:spacing w:after="0" w:line="166" w:lineRule="exact"/>
        <w:rPr>
          <w:rFonts w:ascii="Courier New" w:cs="Courier New" w:eastAsia="Courier New" w:hAnsi="Courier New"/>
          <w:sz w:val="15"/>
          <w:szCs w:val="15"/>
          <w:color w:val="auto"/>
        </w:rPr>
      </w:pPr>
    </w:p>
    <w:p>
      <w:pPr>
        <w:ind w:left="43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Consolidation</w:t>
      </w:r>
    </w:p>
    <w:p>
      <w:pPr>
        <w:spacing w:after="0" w:line="172" w:lineRule="exact"/>
        <w:rPr>
          <w:rFonts w:ascii="Courier New" w:cs="Courier New" w:eastAsia="Courier New" w:hAnsi="Courier New"/>
          <w:sz w:val="15"/>
          <w:szCs w:val="15"/>
          <w:color w:val="auto"/>
        </w:rPr>
      </w:pPr>
    </w:p>
    <w:p>
      <w:pPr>
        <w:ind w:left="610" w:right="3319" w:hanging="175"/>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consolidated financial statements include the accounts of Gentex Corporation and all of its wholly-owned subsidiaries (together the "Company"). All significant intercompany accounts and transactions have been eliminated.</w:t>
      </w:r>
    </w:p>
    <w:p>
      <w:pPr>
        <w:spacing w:after="0" w:line="168" w:lineRule="exact"/>
        <w:rPr>
          <w:rFonts w:ascii="Courier New" w:cs="Courier New" w:eastAsia="Courier New" w:hAnsi="Courier New"/>
          <w:sz w:val="15"/>
          <w:szCs w:val="15"/>
          <w:color w:val="auto"/>
        </w:rPr>
      </w:pPr>
    </w:p>
    <w:p>
      <w:pPr>
        <w:ind w:left="43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Cash Equivalents</w:t>
      </w:r>
    </w:p>
    <w:p>
      <w:pPr>
        <w:spacing w:after="0" w:line="172" w:lineRule="exact"/>
        <w:rPr>
          <w:rFonts w:ascii="Courier New" w:cs="Courier New" w:eastAsia="Courier New" w:hAnsi="Courier New"/>
          <w:sz w:val="15"/>
          <w:szCs w:val="15"/>
          <w:color w:val="auto"/>
        </w:rPr>
      </w:pPr>
    </w:p>
    <w:p>
      <w:pPr>
        <w:ind w:left="430" w:right="3839"/>
        <w:spacing w:after="0" w:line="46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Cash equivalents consist of funds invested in money market accounts. Investments</w:t>
      </w:r>
    </w:p>
    <w:p>
      <w:pPr>
        <w:spacing w:after="0" w:line="14" w:lineRule="exact"/>
        <w:rPr>
          <w:rFonts w:ascii="Courier New" w:cs="Courier New" w:eastAsia="Courier New" w:hAnsi="Courier New"/>
          <w:sz w:val="15"/>
          <w:szCs w:val="15"/>
          <w:color w:val="auto"/>
        </w:rPr>
      </w:pPr>
    </w:p>
    <w:p>
      <w:pPr>
        <w:ind w:left="610" w:right="3839" w:hanging="175"/>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amortized cost, unrealized gains and losses, and market value of securities held to maturity and available for sale are shown as of December 31, 1997 and 1996:</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530" w:type="dxa"/>
        <w:tblCellMar>
          <w:top w:w="0" w:type="dxa"/>
          <w:left w:w="0" w:type="dxa"/>
          <w:bottom w:w="0" w:type="dxa"/>
          <w:right w:w="0" w:type="dxa"/>
        </w:tblCellMar>
      </w:tblPr>
      <w:tr>
        <w:trPr>
          <w:trHeight w:val="170"/>
        </w:trPr>
        <w:tc>
          <w:tcPr>
            <w:tcW w:w="156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Cost</w:t>
            </w:r>
          </w:p>
        </w:tc>
        <w:tc>
          <w:tcPr>
            <w:tcW w:w="180" w:type="dxa"/>
            <w:vAlign w:val="bottom"/>
          </w:tcPr>
          <w:p>
            <w:pPr>
              <w:spacing w:after="0"/>
              <w:rPr>
                <w:sz w:val="14"/>
                <w:szCs w:val="1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Gains</w:t>
            </w:r>
          </w:p>
        </w:tc>
        <w:tc>
          <w:tcPr>
            <w:tcW w:w="180" w:type="dxa"/>
            <w:vAlign w:val="bottom"/>
          </w:tcPr>
          <w:p>
            <w:pPr>
              <w:spacing w:after="0"/>
              <w:rPr>
                <w:sz w:val="14"/>
                <w:szCs w:val="14"/>
                <w:color w:val="auto"/>
              </w:rPr>
            </w:pPr>
          </w:p>
        </w:tc>
        <w:tc>
          <w:tcPr>
            <w:tcW w:w="8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Losses</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Market Value</w:t>
            </w:r>
          </w:p>
        </w:tc>
      </w:tr>
      <w:tr>
        <w:trPr>
          <w:trHeight w:val="168"/>
        </w:trPr>
        <w:tc>
          <w:tcPr>
            <w:tcW w:w="15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560" w:type="dxa"/>
            <w:vAlign w:val="bottom"/>
          </w:tcPr>
          <w:p>
            <w:pPr>
              <w:ind w:left="160"/>
              <w:spacing w:after="0"/>
              <w:rPr>
                <w:sz w:val="20"/>
                <w:szCs w:val="20"/>
                <w:color w:val="auto"/>
              </w:rPr>
            </w:pPr>
            <w:r>
              <w:rPr>
                <w:rFonts w:ascii="Courier New" w:cs="Courier New" w:eastAsia="Courier New" w:hAnsi="Courier New"/>
                <w:sz w:val="15"/>
                <w:szCs w:val="15"/>
                <w:color w:val="auto"/>
              </w:rPr>
              <w:t>U.S. Treasuries</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$15,255,587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344,430</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$ 15,600,017</w:t>
            </w:r>
          </w:p>
        </w:tc>
      </w:tr>
      <w:tr>
        <w:trPr>
          <w:trHeight w:val="168"/>
        </w:trPr>
        <w:tc>
          <w:tcPr>
            <w:tcW w:w="15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Municipal</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43,874,376</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350,279</w:t>
            </w:r>
          </w:p>
        </w:tc>
        <w:tc>
          <w:tcPr>
            <w:tcW w:w="1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(2,641)</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44,222,014</w:t>
            </w:r>
          </w:p>
        </w:tc>
      </w:tr>
      <w:tr>
        <w:trPr>
          <w:trHeight w:val="168"/>
        </w:trPr>
        <w:tc>
          <w:tcPr>
            <w:tcW w:w="15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Other Fixed</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6,476,132</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8,518</w:t>
            </w:r>
          </w:p>
        </w:tc>
        <w:tc>
          <w:tcPr>
            <w:tcW w:w="1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6,484,650</w:t>
            </w:r>
          </w:p>
        </w:tc>
      </w:tr>
      <w:tr>
        <w:trPr>
          <w:trHeight w:val="168"/>
        </w:trPr>
        <w:tc>
          <w:tcPr>
            <w:tcW w:w="15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Equity</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16,610,295</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2,172,023</w:t>
            </w:r>
          </w:p>
        </w:tc>
        <w:tc>
          <w:tcPr>
            <w:tcW w:w="1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(78,965)</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18,703,353</w:t>
            </w:r>
          </w:p>
        </w:tc>
      </w:tr>
      <w:tr>
        <w:trPr>
          <w:trHeight w:val="168"/>
        </w:trPr>
        <w:tc>
          <w:tcPr>
            <w:tcW w:w="156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56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$82,216,390</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$2,875,250</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(81,606)</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$ 85,010,034</w:t>
            </w:r>
          </w:p>
        </w:tc>
      </w:tr>
      <w:tr>
        <w:trPr>
          <w:trHeight w:val="168"/>
        </w:trPr>
        <w:tc>
          <w:tcPr>
            <w:tcW w:w="156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56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15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15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U.S. Treasuries</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$11,164,723</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35,299</w:t>
            </w:r>
          </w:p>
        </w:tc>
        <w:tc>
          <w:tcPr>
            <w:tcW w:w="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$ 11,200,022</w:t>
            </w:r>
          </w:p>
        </w:tc>
      </w:tr>
      <w:tr>
        <w:trPr>
          <w:trHeight w:val="168"/>
        </w:trPr>
        <w:tc>
          <w:tcPr>
            <w:tcW w:w="15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Municipal</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34,758,226</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84,197</w:t>
            </w:r>
          </w:p>
        </w:tc>
        <w:tc>
          <w:tcPr>
            <w:tcW w:w="1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(12,222)</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34,830,201</w:t>
            </w:r>
          </w:p>
        </w:tc>
      </w:tr>
      <w:tr>
        <w:trPr>
          <w:trHeight w:val="168"/>
        </w:trPr>
        <w:tc>
          <w:tcPr>
            <w:tcW w:w="15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Other Fixed</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12,054,500</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15,751</w:t>
            </w:r>
          </w:p>
        </w:tc>
        <w:tc>
          <w:tcPr>
            <w:tcW w:w="1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12,070,251</w:t>
            </w:r>
          </w:p>
        </w:tc>
      </w:tr>
      <w:tr>
        <w:trPr>
          <w:trHeight w:val="168"/>
        </w:trPr>
        <w:tc>
          <w:tcPr>
            <w:tcW w:w="15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Equity</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7,324,101</w:t>
            </w:r>
          </w:p>
        </w:tc>
        <w:tc>
          <w:tcPr>
            <w:tcW w:w="1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787,123</w:t>
            </w:r>
          </w:p>
        </w:tc>
        <w:tc>
          <w:tcPr>
            <w:tcW w:w="1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(339,606)</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7,771,618</w:t>
            </w:r>
          </w:p>
        </w:tc>
      </w:tr>
      <w:tr>
        <w:trPr>
          <w:trHeight w:val="168"/>
        </w:trPr>
        <w:tc>
          <w:tcPr>
            <w:tcW w:w="156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56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$65,301,550</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922,370</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$(351,828)</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$ 65,872,092</w:t>
            </w:r>
          </w:p>
        </w:tc>
      </w:tr>
      <w:tr>
        <w:trPr>
          <w:trHeight w:val="168"/>
        </w:trPr>
        <w:tc>
          <w:tcPr>
            <w:tcW w:w="156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ind w:left="610" w:right="3579" w:hanging="436"/>
        <w:spacing w:after="0" w:line="235" w:lineRule="auto"/>
        <w:rPr>
          <w:sz w:val="20"/>
          <w:szCs w:val="20"/>
          <w:color w:val="auto"/>
        </w:rPr>
      </w:pPr>
      <w:r>
        <w:rPr>
          <w:rFonts w:ascii="Courier New" w:cs="Courier New" w:eastAsia="Courier New" w:hAnsi="Courier New"/>
          <w:sz w:val="15"/>
          <w:szCs w:val="15"/>
          <w:color w:val="auto"/>
        </w:rPr>
        <w:t>Fixed income securities, excluding U.S. Treasuries in 1997, are considered held to maturity, and equity securities and U.S. Treasuries are available for sale. Held to maturity securities as of December 31, 1997, have maturities as follows:</w:t>
      </w:r>
    </w:p>
    <w:p>
      <w:pPr>
        <w:spacing w:after="0" w:line="337" w:lineRule="exact"/>
        <w:rPr>
          <w:sz w:val="20"/>
          <w:szCs w:val="20"/>
          <w:color w:val="auto"/>
        </w:rPr>
      </w:pPr>
    </w:p>
    <w:tbl>
      <w:tblPr>
        <w:tblLayout w:type="fixed"/>
        <w:tblInd w:w="1570" w:type="dxa"/>
        <w:tblCellMar>
          <w:top w:w="0" w:type="dxa"/>
          <w:left w:w="0" w:type="dxa"/>
          <w:bottom w:w="0" w:type="dxa"/>
          <w:right w:w="0" w:type="dxa"/>
        </w:tblCellMar>
      </w:tblPr>
      <w:tr>
        <w:trPr>
          <w:trHeight w:val="170"/>
        </w:trPr>
        <w:tc>
          <w:tcPr>
            <w:tcW w:w="320" w:type="dxa"/>
            <w:vAlign w:val="bottom"/>
          </w:tcPr>
          <w:p>
            <w:pPr>
              <w:spacing w:after="0"/>
              <w:rPr>
                <w:sz w:val="20"/>
                <w:szCs w:val="20"/>
                <w:color w:val="auto"/>
              </w:rPr>
            </w:pPr>
            <w:r>
              <w:rPr>
                <w:rFonts w:ascii="Courier New" w:cs="Courier New" w:eastAsia="Courier New" w:hAnsi="Courier New"/>
                <w:sz w:val="15"/>
                <w:szCs w:val="15"/>
                <w:color w:val="auto"/>
              </w:rPr>
              <w:t>Due</w:t>
            </w:r>
          </w:p>
        </w:tc>
        <w:tc>
          <w:tcPr>
            <w:tcW w:w="2400" w:type="dxa"/>
            <w:vAlign w:val="bottom"/>
          </w:tcPr>
          <w:p>
            <w:pPr>
              <w:ind w:left="40"/>
              <w:spacing w:after="0"/>
              <w:rPr>
                <w:sz w:val="20"/>
                <w:szCs w:val="20"/>
                <w:color w:val="auto"/>
              </w:rPr>
            </w:pPr>
            <w:r>
              <w:rPr>
                <w:rFonts w:ascii="Courier New" w:cs="Courier New" w:eastAsia="Courier New" w:hAnsi="Courier New"/>
                <w:sz w:val="15"/>
                <w:szCs w:val="15"/>
                <w:color w:val="auto"/>
              </w:rPr>
              <w:t>within one year</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$14,362,737</w:t>
            </w: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Due</w:t>
            </w:r>
          </w:p>
        </w:tc>
        <w:tc>
          <w:tcPr>
            <w:tcW w:w="2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between one and five years</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35,987,771</w:t>
            </w:r>
          </w:p>
        </w:tc>
      </w:tr>
    </w:tbl>
    <w:p>
      <w:pPr>
        <w:spacing w:after="0" w:line="335" w:lineRule="exact"/>
        <w:rPr>
          <w:sz w:val="20"/>
          <w:szCs w:val="20"/>
          <w:color w:val="auto"/>
        </w:rPr>
      </w:pPr>
    </w:p>
    <w:p>
      <w:pPr>
        <w:ind w:left="170"/>
        <w:spacing w:after="0"/>
        <w:rPr>
          <w:sz w:val="20"/>
          <w:szCs w:val="20"/>
          <w:color w:val="auto"/>
        </w:rPr>
      </w:pPr>
      <w:r>
        <w:rPr>
          <w:rFonts w:ascii="Courier New" w:cs="Courier New" w:eastAsia="Courier New" w:hAnsi="Courier New"/>
          <w:sz w:val="15"/>
          <w:szCs w:val="15"/>
          <w:color w:val="auto"/>
        </w:rPr>
        <w:t>Inventories</w:t>
      </w:r>
    </w:p>
    <w:p>
      <w:pPr>
        <w:spacing w:after="0" w:line="173" w:lineRule="exact"/>
        <w:rPr>
          <w:sz w:val="20"/>
          <w:szCs w:val="20"/>
          <w:color w:val="auto"/>
        </w:rPr>
      </w:pPr>
    </w:p>
    <w:p>
      <w:pPr>
        <w:ind w:left="610" w:right="3319" w:hanging="436"/>
        <w:spacing w:after="0" w:line="258" w:lineRule="auto"/>
        <w:rPr>
          <w:sz w:val="20"/>
          <w:szCs w:val="20"/>
          <w:color w:val="auto"/>
        </w:rPr>
      </w:pPr>
      <w:r>
        <w:rPr>
          <w:rFonts w:ascii="Courier New" w:cs="Courier New" w:eastAsia="Courier New" w:hAnsi="Courier New"/>
          <w:sz w:val="14"/>
          <w:szCs w:val="14"/>
          <w:color w:val="auto"/>
        </w:rPr>
        <w:t>Inventories include material, direct labor and manufacturing overhead and are valued at the lower of first-in, first-out (FIFO) cost or market. Inventories consisted of the following as of December 31, 1997 and 1996:</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2010" w:type="dxa"/>
        <w:tblCellMar>
          <w:top w:w="0" w:type="dxa"/>
          <w:left w:w="0" w:type="dxa"/>
          <w:bottom w:w="0" w:type="dxa"/>
          <w:right w:w="0" w:type="dxa"/>
        </w:tblCellMar>
      </w:tblPr>
      <w:tr>
        <w:trPr>
          <w:trHeight w:val="170"/>
        </w:trPr>
        <w:tc>
          <w:tcPr>
            <w:tcW w:w="1320" w:type="dxa"/>
            <w:vAlign w:val="bottom"/>
          </w:tcPr>
          <w:p>
            <w:pPr>
              <w:spacing w:after="0"/>
              <w:rPr>
                <w:sz w:val="14"/>
                <w:szCs w:val="14"/>
                <w:color w:val="auto"/>
              </w:rPr>
            </w:pP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1997</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1996</w:t>
            </w:r>
          </w:p>
        </w:tc>
      </w:tr>
      <w:tr>
        <w:trPr>
          <w:trHeight w:val="168"/>
        </w:trPr>
        <w:tc>
          <w:tcPr>
            <w:tcW w:w="132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320" w:type="dxa"/>
            <w:vAlign w:val="bottom"/>
          </w:tcPr>
          <w:p>
            <w:pPr>
              <w:spacing w:after="0"/>
              <w:rPr>
                <w:sz w:val="20"/>
                <w:szCs w:val="20"/>
                <w:color w:val="auto"/>
              </w:rPr>
            </w:pPr>
            <w:r>
              <w:rPr>
                <w:rFonts w:ascii="Courier New" w:cs="Courier New" w:eastAsia="Courier New" w:hAnsi="Courier New"/>
                <w:sz w:val="15"/>
                <w:szCs w:val="15"/>
                <w:color w:val="auto"/>
              </w:rPr>
              <w:t>Raw materials</w:t>
            </w: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$4,931,434</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$3,860,534</w:t>
            </w:r>
          </w:p>
        </w:tc>
      </w:tr>
      <w:tr>
        <w:trPr>
          <w:trHeight w:val="168"/>
        </w:trPr>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Work-in-process</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600,298</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348,336</w:t>
            </w:r>
          </w:p>
        </w:tc>
      </w:tr>
      <w:tr>
        <w:trPr>
          <w:trHeight w:val="168"/>
        </w:trPr>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rPr>
              <w:t>Finished goods</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3,255,957</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1,971,552</w:t>
            </w:r>
          </w:p>
        </w:tc>
      </w:tr>
      <w:tr>
        <w:trPr>
          <w:trHeight w:val="168"/>
        </w:trPr>
        <w:tc>
          <w:tcPr>
            <w:tcW w:w="132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2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$8,787,689</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$6,180,422</w:t>
            </w:r>
          </w:p>
        </w:tc>
      </w:tr>
      <w:tr>
        <w:trPr>
          <w:trHeight w:val="168"/>
        </w:trPr>
        <w:tc>
          <w:tcPr>
            <w:tcW w:w="132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1320" w:type="dxa"/>
            <w:vAlign w:val="bottom"/>
          </w:tcPr>
          <w:p>
            <w:pPr>
              <w:spacing w:after="0"/>
              <w:rPr>
                <w:sz w:val="24"/>
                <w:szCs w:val="24"/>
                <w:color w:val="auto"/>
              </w:rPr>
            </w:pPr>
          </w:p>
        </w:tc>
        <w:tc>
          <w:tcPr>
            <w:tcW w:w="1140" w:type="dxa"/>
            <w:vAlign w:val="bottom"/>
          </w:tcPr>
          <w:p>
            <w:pPr>
              <w:jc w:val="right"/>
              <w:ind w:right="727"/>
              <w:spacing w:after="0"/>
              <w:rPr>
                <w:sz w:val="20"/>
                <w:szCs w:val="20"/>
                <w:color w:val="auto"/>
              </w:rPr>
            </w:pPr>
            <w:r>
              <w:rPr>
                <w:rFonts w:ascii="Courier New" w:cs="Courier New" w:eastAsia="Courier New" w:hAnsi="Courier New"/>
                <w:sz w:val="15"/>
                <w:szCs w:val="15"/>
                <w:color w:val="auto"/>
                <w:w w:val="88"/>
              </w:rPr>
              <w:t>-23-</w:t>
            </w:r>
          </w:p>
        </w:tc>
        <w:tc>
          <w:tcPr>
            <w:tcW w:w="960" w:type="dxa"/>
            <w:vAlign w:val="bottom"/>
          </w:tcPr>
          <w:p>
            <w:pPr>
              <w:spacing w:after="0"/>
              <w:rPr>
                <w:sz w:val="24"/>
                <w:szCs w:val="24"/>
                <w:color w:val="auto"/>
              </w:rPr>
            </w:pPr>
          </w:p>
        </w:tc>
      </w:tr>
    </w:tbl>
    <w:p>
      <w:pPr>
        <w:sectPr>
          <w:pgSz w:w="11900" w:h="16838" w:orient="portrait"/>
          <w:cols w:equalWidth="0" w:num="1">
            <w:col w:w="10229"/>
          </w:cols>
          <w:pgMar w:left="230" w:top="281" w:right="1440" w:bottom="12" w:gutter="0" w:footer="0" w:header="0"/>
        </w:sectPr>
      </w:pPr>
    </w:p>
    <w:bookmarkStart w:id="26" w:name="page27"/>
    <w:bookmarkEnd w:id="26"/>
    <w:p>
      <w:pPr>
        <w:ind w:left="280"/>
        <w:spacing w:after="0"/>
        <w:rPr>
          <w:sz w:val="20"/>
          <w:szCs w:val="20"/>
          <w:color w:val="auto"/>
        </w:rPr>
      </w:pPr>
      <w:r>
        <w:rPr>
          <w:rFonts w:ascii="Courier New" w:cs="Courier New" w:eastAsia="Courier New" w:hAnsi="Courier New"/>
          <w:sz w:val="15"/>
          <w:szCs w:val="15"/>
          <w:color w:val="auto"/>
        </w:rPr>
        <w:t>24</w:t>
      </w:r>
    </w:p>
    <w:p>
      <w:pPr>
        <w:spacing w:after="0" w:line="335"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GENTEX CORPORATION AND SUBSIDIARIES</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6"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(Continued)</w:t>
      </w:r>
    </w:p>
    <w:p>
      <w:pPr>
        <w:spacing w:after="0" w:line="173" w:lineRule="exact"/>
        <w:rPr>
          <w:sz w:val="20"/>
          <w:szCs w:val="20"/>
          <w:color w:val="auto"/>
        </w:rPr>
      </w:pPr>
    </w:p>
    <w:p>
      <w:pPr>
        <w:ind w:left="440" w:right="3939" w:hanging="430"/>
        <w:spacing w:after="0" w:line="465" w:lineRule="auto"/>
        <w:tabs>
          <w:tab w:leader="none" w:pos="44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AND REPORTING POLICIES, continued Plant and Equipment</w:t>
      </w:r>
    </w:p>
    <w:p>
      <w:pPr>
        <w:spacing w:after="0" w:line="14" w:lineRule="exact"/>
        <w:rPr>
          <w:rFonts w:ascii="Courier New" w:cs="Courier New" w:eastAsia="Courier New" w:hAnsi="Courier New"/>
          <w:sz w:val="15"/>
          <w:szCs w:val="15"/>
          <w:color w:val="auto"/>
        </w:rPr>
      </w:pPr>
    </w:p>
    <w:p>
      <w:pPr>
        <w:ind w:left="620" w:right="3319" w:hanging="175"/>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Plant and equipment are stated at cost. Depreciation and amortization are computed for financial reporting purposes using the straight-line method, with estimated useful lives of 5 to 40 years for building and improvements, and 3 to 10 years for machinery and equipment.</w:t>
      </w:r>
    </w:p>
    <w:p>
      <w:pPr>
        <w:spacing w:after="0" w:line="168"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Patents</w:t>
      </w:r>
    </w:p>
    <w:p>
      <w:pPr>
        <w:spacing w:after="0" w:line="172" w:lineRule="exact"/>
        <w:rPr>
          <w:rFonts w:ascii="Courier New" w:cs="Courier New" w:eastAsia="Courier New" w:hAnsi="Courier New"/>
          <w:sz w:val="15"/>
          <w:szCs w:val="15"/>
          <w:color w:val="auto"/>
        </w:rPr>
      </w:pPr>
    </w:p>
    <w:p>
      <w:pPr>
        <w:ind w:left="620" w:right="3319" w:hanging="175"/>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policy is to capitalize costs incurred to obtain and defend patents. The cost of patents is amortized over their useful lives. The cost of patents in process is not amortized until issuance. Accumulated amortization was approximately $4,679,000 and $3,580,000 at December 31, 1997 and 1996, respectively. Patent amortization expense was approximately $1,099,000, $186,000, and $129,000 in 1997, 1996 and 1995, respectively.</w:t>
      </w:r>
    </w:p>
    <w:p>
      <w:pPr>
        <w:spacing w:after="0" w:line="169"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Revenue Recognition</w:t>
      </w:r>
    </w:p>
    <w:p>
      <w:pPr>
        <w:spacing w:after="0" w:line="172" w:lineRule="exact"/>
        <w:rPr>
          <w:rFonts w:ascii="Courier New" w:cs="Courier New" w:eastAsia="Courier New" w:hAnsi="Courier New"/>
          <w:sz w:val="15"/>
          <w:szCs w:val="15"/>
          <w:color w:val="auto"/>
        </w:rPr>
      </w:pPr>
    </w:p>
    <w:p>
      <w:pPr>
        <w:ind w:left="620" w:right="3499" w:hanging="175"/>
        <w:spacing w:after="0" w:line="26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Company's revenue primarily is generated from sales of its products. Sales are recognized upon the shipment of product to customers.</w:t>
      </w:r>
    </w:p>
    <w:p>
      <w:pPr>
        <w:spacing w:after="0" w:line="153"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Advertising and Promotional Materials</w:t>
      </w:r>
    </w:p>
    <w:p>
      <w:pPr>
        <w:spacing w:after="0" w:line="172" w:lineRule="exact"/>
        <w:rPr>
          <w:rFonts w:ascii="Courier New" w:cs="Courier New" w:eastAsia="Courier New" w:hAnsi="Courier New"/>
          <w:sz w:val="15"/>
          <w:szCs w:val="15"/>
          <w:color w:val="auto"/>
        </w:rPr>
      </w:pPr>
    </w:p>
    <w:p>
      <w:pPr>
        <w:ind w:left="620" w:right="3319" w:hanging="175"/>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All advertising and promotional costs are expensed as incurred and amounted to approximately $671,000, $780,000, and $608,000 in 1997, 1996 and 1995, respectively.</w:t>
      </w:r>
    </w:p>
    <w:p>
      <w:pPr>
        <w:spacing w:after="0" w:line="167"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Repairs and Maintenance</w:t>
      </w:r>
    </w:p>
    <w:p>
      <w:pPr>
        <w:spacing w:after="0" w:line="172" w:lineRule="exact"/>
        <w:rPr>
          <w:rFonts w:ascii="Courier New" w:cs="Courier New" w:eastAsia="Courier New" w:hAnsi="Courier New"/>
          <w:sz w:val="15"/>
          <w:szCs w:val="15"/>
          <w:color w:val="auto"/>
        </w:rPr>
      </w:pPr>
    </w:p>
    <w:p>
      <w:pPr>
        <w:ind w:left="620" w:right="3319" w:hanging="175"/>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Major renewals and improvements of property and equipment are capitalized, and repairs and maintenance are expensed as incurred. The Company incurred expenses relating to the repair and maintenance of plant and equipment of approximately $2,028,000, $1,338,000, and $1,041,000 in 1997, 1996 and 1995, respectively.</w:t>
      </w:r>
    </w:p>
    <w:p>
      <w:pPr>
        <w:spacing w:after="0" w:line="167"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Self-Insurance</w:t>
      </w:r>
    </w:p>
    <w:p>
      <w:pPr>
        <w:spacing w:after="0" w:line="172" w:lineRule="exact"/>
        <w:rPr>
          <w:rFonts w:ascii="Courier New" w:cs="Courier New" w:eastAsia="Courier New" w:hAnsi="Courier New"/>
          <w:sz w:val="15"/>
          <w:szCs w:val="15"/>
          <w:color w:val="auto"/>
        </w:rPr>
      </w:pPr>
    </w:p>
    <w:p>
      <w:pPr>
        <w:ind w:left="620" w:right="3499" w:hanging="175"/>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is self-insured for a portion of its risk on workers' compensation and employee medical costs. The arrangements provide for stop loss insurance to manage the Company's risk. Operations are charged with the cost of claims reported and an estimate of claims incurred but not reported.</w:t>
      </w:r>
    </w:p>
    <w:p>
      <w:pPr>
        <w:spacing w:after="0" w:line="167"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Per Share</w:t>
      </w:r>
    </w:p>
    <w:p>
      <w:pPr>
        <w:spacing w:after="0" w:line="172" w:lineRule="exact"/>
        <w:rPr>
          <w:rFonts w:ascii="Courier New" w:cs="Courier New" w:eastAsia="Courier New" w:hAnsi="Courier New"/>
          <w:sz w:val="15"/>
          <w:szCs w:val="15"/>
          <w:color w:val="auto"/>
        </w:rPr>
      </w:pPr>
    </w:p>
    <w:p>
      <w:pPr>
        <w:ind w:left="620" w:right="3239" w:hanging="175"/>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Effective December 31, 1997, the Company implemented Statement of Financial Accounting Standards No. 128: "Earnings Per Share". This statement establishes standards for computing and presenting earnings per share. Under the new method, basic earnings per share excludes dilution and is computed by dividing income available to common stockholders by the weighted-average number of common shares outstanding for the period.</w:t>
      </w:r>
    </w:p>
    <w:p>
      <w:pPr>
        <w:spacing w:after="0" w:line="2" w:lineRule="exact"/>
        <w:rPr>
          <w:rFonts w:ascii="Courier New" w:cs="Courier New" w:eastAsia="Courier New" w:hAnsi="Courier New"/>
          <w:sz w:val="15"/>
          <w:szCs w:val="15"/>
          <w:color w:val="auto"/>
        </w:rPr>
      </w:pPr>
    </w:p>
    <w:p>
      <w:pPr>
        <w:ind w:left="620" w:right="339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weighted average number of shares outstanding was approximately 34,815,000, 34,093,000, and 33,180,000 in 1997, 1996 and 1995, respectively. Diluted earnings per share reflects the potential dilution that could occur if securities or other contracts to issue common stock were exercised or converted into common stock or resulted in the issuance of common stock that then shared in the earnings of the entity, which primarily includes stock options and restricted stock grants at Gentex. The weighted average number of shares outstanding, including the potential dilution, was approximately 35,981,000, 35,512,000 and 34,255,000 in 1997, 1996 and 1995, respectively. All prior-period earnings per share data presented reflect the methodology described under this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39"/>
          </w:cols>
          <w:pgMar w:left="220" w:top="281" w:right="1440" w:bottom="1440" w:gutter="0" w:footer="0" w:header="0"/>
        </w:sectPr>
      </w:pPr>
    </w:p>
    <w:bookmarkStart w:id="27" w:name="page28"/>
    <w:bookmarkEnd w:id="27"/>
    <w:p>
      <w:pPr>
        <w:ind w:left="270"/>
        <w:spacing w:after="0"/>
        <w:rPr>
          <w:sz w:val="20"/>
          <w:szCs w:val="20"/>
          <w:color w:val="auto"/>
        </w:rPr>
      </w:pPr>
      <w:r>
        <w:rPr>
          <w:rFonts w:ascii="Courier New" w:cs="Courier New" w:eastAsia="Courier New" w:hAnsi="Courier New"/>
          <w:sz w:val="15"/>
          <w:szCs w:val="15"/>
          <w:color w:val="auto"/>
        </w:rPr>
        <w:t>25</w:t>
      </w:r>
    </w:p>
    <w:p>
      <w:pPr>
        <w:spacing w:after="0" w:line="335" w:lineRule="exact"/>
        <w:rPr>
          <w:sz w:val="20"/>
          <w:szCs w:val="20"/>
          <w:color w:val="auto"/>
        </w:rPr>
      </w:pPr>
    </w:p>
    <w:p>
      <w:pPr>
        <w:ind w:left="1930"/>
        <w:spacing w:after="0"/>
        <w:rPr>
          <w:sz w:val="20"/>
          <w:szCs w:val="20"/>
          <w:color w:val="auto"/>
        </w:rPr>
      </w:pPr>
      <w:r>
        <w:rPr>
          <w:rFonts w:ascii="Courier New" w:cs="Courier New" w:eastAsia="Courier New" w:hAnsi="Courier New"/>
          <w:sz w:val="15"/>
          <w:szCs w:val="15"/>
          <w:color w:val="auto"/>
        </w:rPr>
        <w:t>GENTEX CORPORATION AND SUBSIDIARIES</w:t>
      </w:r>
    </w:p>
    <w:p>
      <w:pPr>
        <w:spacing w:after="0" w:line="166" w:lineRule="exact"/>
        <w:rPr>
          <w:sz w:val="20"/>
          <w:szCs w:val="20"/>
          <w:color w:val="auto"/>
        </w:rPr>
      </w:pPr>
    </w:p>
    <w:p>
      <w:pPr>
        <w:jc w:val="center"/>
        <w:ind w:right="322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6" w:lineRule="exact"/>
        <w:rPr>
          <w:sz w:val="20"/>
          <w:szCs w:val="20"/>
          <w:color w:val="auto"/>
        </w:rPr>
      </w:pPr>
    </w:p>
    <w:p>
      <w:pPr>
        <w:ind w:left="2970"/>
        <w:spacing w:after="0"/>
        <w:rPr>
          <w:sz w:val="20"/>
          <w:szCs w:val="20"/>
          <w:color w:val="auto"/>
        </w:rPr>
      </w:pPr>
      <w:r>
        <w:rPr>
          <w:rFonts w:ascii="Courier New" w:cs="Courier New" w:eastAsia="Courier New" w:hAnsi="Courier New"/>
          <w:sz w:val="15"/>
          <w:szCs w:val="15"/>
          <w:color w:val="auto"/>
        </w:rPr>
        <w:t>(Continued)</w:t>
      </w:r>
    </w:p>
    <w:p>
      <w:pPr>
        <w:spacing w:after="0" w:line="173" w:lineRule="exact"/>
        <w:rPr>
          <w:sz w:val="20"/>
          <w:szCs w:val="20"/>
          <w:color w:val="auto"/>
        </w:rPr>
      </w:pPr>
    </w:p>
    <w:p>
      <w:pPr>
        <w:ind w:left="430" w:right="3939" w:hanging="430"/>
        <w:spacing w:after="0" w:line="465" w:lineRule="auto"/>
        <w:tabs>
          <w:tab w:leader="none" w:pos="43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AND REPORTING POLICIES, continued Foreign Currency Translation</w:t>
      </w:r>
    </w:p>
    <w:p>
      <w:pPr>
        <w:spacing w:after="0" w:line="14" w:lineRule="exact"/>
        <w:rPr>
          <w:rFonts w:ascii="Courier New" w:cs="Courier New" w:eastAsia="Courier New" w:hAnsi="Courier New"/>
          <w:sz w:val="15"/>
          <w:szCs w:val="15"/>
          <w:color w:val="auto"/>
        </w:rPr>
      </w:pPr>
    </w:p>
    <w:p>
      <w:pPr>
        <w:ind w:left="610" w:right="3319" w:hanging="175"/>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financial position and results of operations of the Company's foreign subsidiary are measured using the local currency as the functional currency. Assets and liabilities are translated at the exchange rate in effect at year-end. Income statement accounts are translated at the average rate of exchange in effect during the year. The resulting translation adjustment is recorded as a separate component of shareholders' investment.</w:t>
      </w:r>
    </w:p>
    <w:p>
      <w:pPr>
        <w:spacing w:after="0" w:line="169" w:lineRule="exact"/>
        <w:rPr>
          <w:rFonts w:ascii="Courier New" w:cs="Courier New" w:eastAsia="Courier New" w:hAnsi="Courier New"/>
          <w:sz w:val="15"/>
          <w:szCs w:val="15"/>
          <w:color w:val="auto"/>
        </w:rPr>
      </w:pPr>
    </w:p>
    <w:p>
      <w:pPr>
        <w:ind w:left="43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Estimates</w:t>
      </w:r>
    </w:p>
    <w:p>
      <w:pPr>
        <w:spacing w:after="0" w:line="172" w:lineRule="exact"/>
        <w:rPr>
          <w:rFonts w:ascii="Courier New" w:cs="Courier New" w:eastAsia="Courier New" w:hAnsi="Courier New"/>
          <w:sz w:val="15"/>
          <w:szCs w:val="15"/>
          <w:color w:val="auto"/>
        </w:rPr>
      </w:pPr>
    </w:p>
    <w:p>
      <w:pPr>
        <w:ind w:left="610" w:right="3319" w:hanging="175"/>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69" w:lineRule="exact"/>
        <w:rPr>
          <w:rFonts w:ascii="Courier New" w:cs="Courier New" w:eastAsia="Courier New" w:hAnsi="Courier New"/>
          <w:sz w:val="15"/>
          <w:szCs w:val="15"/>
          <w:color w:val="auto"/>
        </w:rPr>
      </w:pPr>
    </w:p>
    <w:p>
      <w:pPr>
        <w:ind w:left="430" w:hanging="430"/>
        <w:spacing w:after="0"/>
        <w:tabs>
          <w:tab w:leader="none" w:pos="43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LINE OF CREDIT</w:t>
      </w:r>
    </w:p>
    <w:p>
      <w:pPr>
        <w:spacing w:after="0" w:line="172" w:lineRule="exact"/>
        <w:rPr>
          <w:rFonts w:ascii="Courier New" w:cs="Courier New" w:eastAsia="Courier New" w:hAnsi="Courier New"/>
          <w:sz w:val="15"/>
          <w:szCs w:val="15"/>
          <w:color w:val="auto"/>
        </w:rPr>
      </w:pPr>
    </w:p>
    <w:p>
      <w:pPr>
        <w:ind w:left="610" w:right="3319" w:hanging="175"/>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available an unsecured $5,000,000 line of credit from a bank at the lower of the bank's prime rate or 1.5% above the LIBOR rate. No borrowings were outstanding under this line in 1997 or 1996. No compensating balances are required under this line.</w:t>
      </w:r>
    </w:p>
    <w:p>
      <w:pPr>
        <w:spacing w:after="0" w:line="168" w:lineRule="exact"/>
        <w:rPr>
          <w:rFonts w:ascii="Courier New" w:cs="Courier New" w:eastAsia="Courier New" w:hAnsi="Courier New"/>
          <w:sz w:val="15"/>
          <w:szCs w:val="15"/>
          <w:color w:val="auto"/>
        </w:rPr>
      </w:pPr>
    </w:p>
    <w:p>
      <w:pPr>
        <w:ind w:left="430" w:hanging="430"/>
        <w:spacing w:after="0"/>
        <w:tabs>
          <w:tab w:leader="none" w:pos="43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FEDERAL INCOME TAXES</w:t>
      </w:r>
    </w:p>
    <w:p>
      <w:pPr>
        <w:spacing w:after="0" w:line="172" w:lineRule="exact"/>
        <w:rPr>
          <w:rFonts w:ascii="Courier New" w:cs="Courier New" w:eastAsia="Courier New" w:hAnsi="Courier New"/>
          <w:sz w:val="15"/>
          <w:szCs w:val="15"/>
          <w:color w:val="auto"/>
        </w:rPr>
      </w:pPr>
    </w:p>
    <w:p>
      <w:pPr>
        <w:ind w:left="610" w:right="3399" w:hanging="175"/>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recognizes deferred tax liabilities and assets for the expected future tax consequences of events that have been included in the consolidated financial statements or tax returns. Under this method, deferred tax liabilities and assets are determined based on the difference between the financial statement and tax bases of assets and liabilities using enacted tax rates in effect for the year in which the differences are expected to reverse.</w:t>
      </w:r>
    </w:p>
    <w:p>
      <w:pPr>
        <w:spacing w:after="0" w:line="175" w:lineRule="exact"/>
        <w:rPr>
          <w:rFonts w:ascii="Courier New" w:cs="Courier New" w:eastAsia="Courier New" w:hAnsi="Courier New"/>
          <w:sz w:val="15"/>
          <w:szCs w:val="15"/>
          <w:color w:val="auto"/>
        </w:rPr>
      </w:pPr>
    </w:p>
    <w:p>
      <w:pPr>
        <w:ind w:left="43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The components of the provision for federal income taxes are as follows: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1050" w:type="dxa"/>
        <w:tblCellMar>
          <w:top w:w="0" w:type="dxa"/>
          <w:left w:w="0" w:type="dxa"/>
          <w:bottom w:w="0" w:type="dxa"/>
          <w:right w:w="0" w:type="dxa"/>
        </w:tblCellMar>
      </w:tblPr>
      <w:tr>
        <w:trPr>
          <w:trHeight w:val="170"/>
        </w:trPr>
        <w:tc>
          <w:tcPr>
            <w:tcW w:w="1580" w:type="dxa"/>
            <w:vAlign w:val="bottom"/>
          </w:tcPr>
          <w:p>
            <w:pPr>
              <w:spacing w:after="0"/>
              <w:rPr>
                <w:sz w:val="14"/>
                <w:szCs w:val="14"/>
                <w:color w:val="auto"/>
              </w:rPr>
            </w:pP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1997</w:t>
            </w:r>
          </w:p>
        </w:tc>
        <w:tc>
          <w:tcPr>
            <w:tcW w:w="108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1996</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1995</w:t>
            </w:r>
          </w:p>
        </w:tc>
      </w:tr>
      <w:tr>
        <w:trPr>
          <w:trHeight w:val="168"/>
        </w:trPr>
        <w:tc>
          <w:tcPr>
            <w:tcW w:w="1580" w:type="dxa"/>
            <w:vAlign w:val="bottom"/>
          </w:tcPr>
          <w:p>
            <w:pPr>
              <w:spacing w:after="0"/>
              <w:rPr>
                <w:sz w:val="14"/>
                <w:szCs w:val="14"/>
                <w:color w:val="auto"/>
              </w:rPr>
            </w:pP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580" w:type="dxa"/>
            <w:vAlign w:val="bottom"/>
          </w:tcPr>
          <w:p>
            <w:pPr>
              <w:spacing w:after="0"/>
              <w:rPr>
                <w:sz w:val="20"/>
                <w:szCs w:val="20"/>
                <w:color w:val="auto"/>
              </w:rPr>
            </w:pPr>
            <w:r>
              <w:rPr>
                <w:rFonts w:ascii="Courier New" w:cs="Courier New" w:eastAsia="Courier New" w:hAnsi="Courier New"/>
                <w:sz w:val="15"/>
                <w:szCs w:val="15"/>
                <w:color w:val="auto"/>
              </w:rPr>
              <w:t>Currently payable</w:t>
            </w:r>
          </w:p>
        </w:tc>
        <w:tc>
          <w:tcPr>
            <w:tcW w:w="1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$17,249,000</w:t>
            </w:r>
          </w:p>
        </w:tc>
        <w:tc>
          <w:tcPr>
            <w:tcW w:w="10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8"/>
              </w:rPr>
              <w:t>$10,446,000</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$9,179,000</w:t>
            </w: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Deferred</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(290,000)</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1,073,000</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(143,000)</w:t>
            </w:r>
          </w:p>
        </w:tc>
      </w:tr>
      <w:tr>
        <w:trPr>
          <w:trHeight w:val="168"/>
        </w:trPr>
        <w:tc>
          <w:tcPr>
            <w:tcW w:w="1580" w:type="dxa"/>
            <w:vAlign w:val="bottom"/>
          </w:tcPr>
          <w:p>
            <w:pPr>
              <w:spacing w:after="0"/>
              <w:rPr>
                <w:sz w:val="14"/>
                <w:szCs w:val="14"/>
                <w:color w:val="auto"/>
              </w:rPr>
            </w:pP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580" w:type="dxa"/>
            <w:vAlign w:val="bottom"/>
          </w:tcPr>
          <w:p>
            <w:pPr>
              <w:spacing w:after="0"/>
              <w:rPr>
                <w:sz w:val="24"/>
                <w:szCs w:val="24"/>
                <w:color w:val="auto"/>
              </w:rPr>
            </w:pPr>
          </w:p>
        </w:tc>
        <w:tc>
          <w:tcPr>
            <w:tcW w:w="1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$16,959,000</w:t>
            </w:r>
          </w:p>
        </w:tc>
        <w:tc>
          <w:tcPr>
            <w:tcW w:w="10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8"/>
              </w:rPr>
              <w:t>$11,519,000</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$9,036,000</w:t>
            </w:r>
          </w:p>
        </w:tc>
      </w:tr>
      <w:tr>
        <w:trPr>
          <w:trHeight w:val="168"/>
        </w:trPr>
        <w:tc>
          <w:tcPr>
            <w:tcW w:w="1580" w:type="dxa"/>
            <w:vAlign w:val="bottom"/>
          </w:tcPr>
          <w:p>
            <w:pPr>
              <w:spacing w:after="0"/>
              <w:rPr>
                <w:sz w:val="14"/>
                <w:szCs w:val="14"/>
                <w:color w:val="auto"/>
              </w:rPr>
            </w:pP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ind w:left="610" w:right="3319" w:hanging="174"/>
        <w:spacing w:after="0" w:line="256" w:lineRule="auto"/>
        <w:rPr>
          <w:sz w:val="20"/>
          <w:szCs w:val="20"/>
          <w:color w:val="auto"/>
        </w:rPr>
      </w:pPr>
      <w:r>
        <w:rPr>
          <w:rFonts w:ascii="Courier New" w:cs="Courier New" w:eastAsia="Courier New" w:hAnsi="Courier New"/>
          <w:sz w:val="14"/>
          <w:szCs w:val="14"/>
          <w:color w:val="auto"/>
        </w:rPr>
        <w:t>The currently payable provision is further reduced by the tax benefits associated with the exercise, vesting or disposition of stock under the stock plans described in Note 6. These reductions totaled approximately $3,571,000, $3,284,000, and $1,876,000 in the respective years.</w:t>
      </w:r>
    </w:p>
    <w:p>
      <w:pPr>
        <w:spacing w:after="0" w:line="164" w:lineRule="exact"/>
        <w:rPr>
          <w:sz w:val="20"/>
          <w:szCs w:val="20"/>
          <w:color w:val="auto"/>
        </w:rPr>
      </w:pPr>
    </w:p>
    <w:p>
      <w:pPr>
        <w:ind w:left="610" w:right="3579" w:hanging="174"/>
        <w:spacing w:after="0" w:line="234" w:lineRule="auto"/>
        <w:rPr>
          <w:sz w:val="20"/>
          <w:szCs w:val="20"/>
          <w:color w:val="auto"/>
        </w:rPr>
      </w:pPr>
      <w:r>
        <w:rPr>
          <w:rFonts w:ascii="Courier New" w:cs="Courier New" w:eastAsia="Courier New" w:hAnsi="Courier New"/>
          <w:sz w:val="15"/>
          <w:szCs w:val="15"/>
          <w:color w:val="auto"/>
        </w:rPr>
        <w:t>The effective income tax rates are different from the statutory federal income tax rates for the following reasons: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33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29"/>
          </w:cols>
          <w:pgMar w:left="230" w:top="281" w:right="1440" w:bottom="1440" w:gutter="0" w:footer="0" w:header="0"/>
        </w:sectPr>
      </w:pPr>
    </w:p>
    <w:bookmarkStart w:id="28" w:name="page29"/>
    <w:bookmarkEnd w:id="28"/>
    <w:p>
      <w:pPr>
        <w:ind w:left="280"/>
        <w:spacing w:after="0"/>
        <w:rPr>
          <w:sz w:val="20"/>
          <w:szCs w:val="20"/>
          <w:color w:val="auto"/>
        </w:rPr>
      </w:pPr>
      <w:r>
        <w:rPr>
          <w:rFonts w:ascii="Courier New" w:cs="Courier New" w:eastAsia="Courier New" w:hAnsi="Courier New"/>
          <w:sz w:val="15"/>
          <w:szCs w:val="15"/>
          <w:color w:val="auto"/>
        </w:rPr>
        <w:t>26</w:t>
      </w:r>
    </w:p>
    <w:p>
      <w:pPr>
        <w:spacing w:after="0" w:line="200" w:lineRule="exact"/>
        <w:rPr>
          <w:sz w:val="20"/>
          <w:szCs w:val="20"/>
          <w:color w:val="auto"/>
        </w:rPr>
      </w:pPr>
    </w:p>
    <w:p>
      <w:pPr>
        <w:spacing w:after="0" w:line="303"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GENTEX CORPORATION AND SUBSIDIARIES</w:t>
      </w:r>
    </w:p>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6"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(Continued)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60" w:type="dxa"/>
            <w:vAlign w:val="bottom"/>
          </w:tcPr>
          <w:p>
            <w:pPr>
              <w:spacing w:after="0"/>
              <w:rPr>
                <w:sz w:val="20"/>
                <w:szCs w:val="20"/>
                <w:color w:val="auto"/>
              </w:rPr>
            </w:pPr>
            <w:r>
              <w:rPr>
                <w:rFonts w:ascii="Courier New" w:cs="Courier New" w:eastAsia="Courier New" w:hAnsi="Courier New"/>
                <w:sz w:val="15"/>
                <w:szCs w:val="15"/>
                <w:color w:val="auto"/>
              </w:rPr>
              <w:t>(3) FEDERAL INCOME TAXES, continued</w:t>
            </w: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841"/>
        </w:trPr>
        <w:tc>
          <w:tcPr>
            <w:tcW w:w="4160" w:type="dxa"/>
            <w:vAlign w:val="bottom"/>
          </w:tcPr>
          <w:p>
            <w:pPr>
              <w:spacing w:after="0"/>
              <w:rPr>
                <w:sz w:val="24"/>
                <w:szCs w:val="24"/>
                <w:color w:val="auto"/>
              </w:rPr>
            </w:pP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1997</w:t>
            </w:r>
          </w:p>
        </w:tc>
        <w:tc>
          <w:tcPr>
            <w:tcW w:w="6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1996</w:t>
            </w:r>
          </w:p>
        </w:tc>
        <w:tc>
          <w:tcPr>
            <w:tcW w:w="5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1995</w:t>
            </w:r>
          </w:p>
        </w:tc>
      </w:tr>
      <w:tr>
        <w:trPr>
          <w:trHeight w:val="168"/>
        </w:trPr>
        <w:tc>
          <w:tcPr>
            <w:tcW w:w="416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160" w:type="dxa"/>
            <w:vAlign w:val="bottom"/>
          </w:tcPr>
          <w:p>
            <w:pPr>
              <w:ind w:left="280"/>
              <w:spacing w:after="0"/>
              <w:rPr>
                <w:sz w:val="20"/>
                <w:szCs w:val="20"/>
                <w:color w:val="auto"/>
              </w:rPr>
            </w:pPr>
            <w:r>
              <w:rPr>
                <w:rFonts w:ascii="Courier New" w:cs="Courier New" w:eastAsia="Courier New" w:hAnsi="Courier New"/>
                <w:sz w:val="15"/>
                <w:szCs w:val="15"/>
                <w:color w:val="auto"/>
              </w:rPr>
              <w:t>Statutory federal income tax rate</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35.0%</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35.0%</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35.0%</w:t>
            </w:r>
          </w:p>
        </w:tc>
      </w:tr>
      <w:tr>
        <w:trPr>
          <w:trHeight w:val="168"/>
        </w:trPr>
        <w:tc>
          <w:tcPr>
            <w:tcW w:w="41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Foreign Sales Corporation exempted income</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w:t>
            </w:r>
          </w:p>
        </w:tc>
      </w:tr>
      <w:tr>
        <w:trPr>
          <w:trHeight w:val="168"/>
        </w:trPr>
        <w:tc>
          <w:tcPr>
            <w:tcW w:w="41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Tax-exempt investment income</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41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Other</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0.1</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0.2</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0.2</w:t>
            </w:r>
          </w:p>
        </w:tc>
      </w:tr>
      <w:tr>
        <w:trPr>
          <w:trHeight w:val="168"/>
        </w:trPr>
        <w:tc>
          <w:tcPr>
            <w:tcW w:w="416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Effective Income tax rate</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32.5%</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32.5%</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32.4%</w:t>
            </w:r>
          </w:p>
        </w:tc>
      </w:tr>
      <w:tr>
        <w:trPr>
          <w:trHeight w:val="168"/>
        </w:trPr>
        <w:tc>
          <w:tcPr>
            <w:tcW w:w="416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ind w:left="280" w:right="3759"/>
        <w:spacing w:after="0" w:line="261" w:lineRule="auto"/>
        <w:rPr>
          <w:sz w:val="20"/>
          <w:szCs w:val="20"/>
          <w:color w:val="auto"/>
        </w:rPr>
      </w:pPr>
      <w:r>
        <w:rPr>
          <w:rFonts w:ascii="Courier New" w:cs="Courier New" w:eastAsia="Courier New" w:hAnsi="Courier New"/>
          <w:sz w:val="14"/>
          <w:szCs w:val="14"/>
          <w:color w:val="auto"/>
        </w:rPr>
        <w:t>The tax effect of temporary differences which give rise to deferred tax assets and liabilities at December 31, 1997 and 1996, are as follows: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280" w:type="dxa"/>
        <w:tblCellMar>
          <w:top w:w="0" w:type="dxa"/>
          <w:left w:w="0" w:type="dxa"/>
          <w:bottom w:w="0" w:type="dxa"/>
          <w:right w:w="0" w:type="dxa"/>
        </w:tblCellMar>
      </w:tblPr>
      <w:tr>
        <w:trPr>
          <w:trHeight w:val="170"/>
        </w:trPr>
        <w:tc>
          <w:tcPr>
            <w:tcW w:w="3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tcPr>
          <w:p>
            <w:pPr>
              <w:jc w:val="right"/>
              <w:ind w:right="747"/>
              <w:spacing w:after="0"/>
              <w:rPr>
                <w:sz w:val="20"/>
                <w:szCs w:val="20"/>
                <w:color w:val="auto"/>
              </w:rPr>
            </w:pPr>
            <w:r>
              <w:rPr>
                <w:rFonts w:ascii="Courier New" w:cs="Courier New" w:eastAsia="Courier New" w:hAnsi="Courier New"/>
                <w:sz w:val="15"/>
                <w:szCs w:val="15"/>
                <w:color w:val="auto"/>
              </w:rPr>
              <w:t>1997</w:t>
            </w:r>
          </w:p>
        </w:tc>
        <w:tc>
          <w:tcPr>
            <w:tcW w:w="12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1996</w:t>
            </w:r>
          </w:p>
        </w:tc>
        <w:tc>
          <w:tcPr>
            <w:tcW w:w="1040" w:type="dxa"/>
            <w:vAlign w:val="bottom"/>
          </w:tcPr>
          <w:p>
            <w:pPr>
              <w:spacing w:after="0"/>
              <w:rPr>
                <w:sz w:val="14"/>
                <w:szCs w:val="14"/>
                <w:color w:val="auto"/>
              </w:rPr>
            </w:pPr>
          </w:p>
        </w:tc>
      </w:tr>
      <w:tr>
        <w:trPr>
          <w:trHeight w:val="168"/>
        </w:trPr>
        <w:tc>
          <w:tcPr>
            <w:tcW w:w="3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w:t>
            </w:r>
          </w:p>
        </w:tc>
        <w:tc>
          <w:tcPr>
            <w:tcW w:w="2320" w:type="dxa"/>
            <w:vAlign w:val="bottom"/>
            <w:gridSpan w:val="3"/>
          </w:tcPr>
          <w:p>
            <w:pPr>
              <w:jc w:val="right"/>
              <w:ind w:right="26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Current</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Non-Current</w:t>
            </w: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Current</w:t>
            </w:r>
          </w:p>
        </w:tc>
        <w:tc>
          <w:tcPr>
            <w:tcW w:w="13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w w:val="94"/>
              </w:rPr>
              <w:t>Non-Current</w:t>
            </w:r>
          </w:p>
        </w:tc>
      </w:tr>
      <w:tr>
        <w:trPr>
          <w:trHeight w:val="168"/>
        </w:trPr>
        <w:tc>
          <w:tcPr>
            <w:tcW w:w="3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w:t>
            </w: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332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33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Accruals not currently deductible</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500,052</w:t>
            </w: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100,100</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$412,785</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52,500</w:t>
            </w:r>
          </w:p>
        </w:tc>
      </w:tr>
      <w:tr>
        <w:trPr>
          <w:trHeight w:val="168"/>
        </w:trPr>
        <w:tc>
          <w:tcPr>
            <w:tcW w:w="33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Deferred compensation</w:t>
            </w:r>
          </w:p>
        </w:tc>
        <w:tc>
          <w:tcPr>
            <w:tcW w:w="34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407,379</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452,023</w:t>
            </w:r>
          </w:p>
        </w:tc>
      </w:tr>
      <w:tr>
        <w:trPr>
          <w:trHeight w:val="168"/>
        </w:trPr>
        <w:tc>
          <w:tcPr>
            <w:tcW w:w="33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Other</w:t>
            </w:r>
          </w:p>
        </w:tc>
        <w:tc>
          <w:tcPr>
            <w:tcW w:w="34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564,325</w:t>
            </w: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44,241</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261,413</w:t>
            </w:r>
          </w:p>
        </w:tc>
        <w:tc>
          <w:tcPr>
            <w:tcW w:w="26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17,340</w:t>
            </w:r>
          </w:p>
        </w:tc>
      </w:tr>
      <w:tr>
        <w:trPr>
          <w:trHeight w:val="168"/>
        </w:trPr>
        <w:tc>
          <w:tcPr>
            <w:tcW w:w="3320" w:type="dxa"/>
            <w:vAlign w:val="bottom"/>
          </w:tcPr>
          <w:p>
            <w:pPr>
              <w:spacing w:after="0"/>
              <w:rPr>
                <w:sz w:val="14"/>
                <w:szCs w:val="14"/>
                <w:color w:val="auto"/>
              </w:rPr>
            </w:pPr>
          </w:p>
        </w:tc>
        <w:tc>
          <w:tcPr>
            <w:tcW w:w="12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Total deferred tax assets</w:t>
            </w:r>
          </w:p>
        </w:tc>
        <w:tc>
          <w:tcPr>
            <w:tcW w:w="34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1,064,377</w:t>
            </w: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551,720</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674,198</w:t>
            </w:r>
          </w:p>
        </w:tc>
        <w:tc>
          <w:tcPr>
            <w:tcW w:w="26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521,863</w:t>
            </w:r>
          </w:p>
        </w:tc>
      </w:tr>
      <w:tr>
        <w:trPr>
          <w:trHeight w:val="336"/>
        </w:trPr>
        <w:tc>
          <w:tcPr>
            <w:tcW w:w="3320" w:type="dxa"/>
            <w:vAlign w:val="bottom"/>
          </w:tcPr>
          <w:p>
            <w:pPr>
              <w:spacing w:after="0"/>
              <w:rPr>
                <w:sz w:val="20"/>
                <w:szCs w:val="20"/>
                <w:color w:val="auto"/>
              </w:rPr>
            </w:pPr>
            <w:r>
              <w:rPr>
                <w:rFonts w:ascii="Courier New" w:cs="Courier New" w:eastAsia="Courier New" w:hAnsi="Courier New"/>
                <w:sz w:val="15"/>
                <w:szCs w:val="15"/>
                <w:color w:val="auto"/>
              </w:rPr>
              <w:t>Liabilities:</w:t>
            </w: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33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Excess tax over book depreciation</w:t>
            </w:r>
          </w:p>
        </w:tc>
        <w:tc>
          <w:tcPr>
            <w:tcW w:w="34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(1,486,411)</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(1,046,618)</w:t>
            </w:r>
          </w:p>
        </w:tc>
      </w:tr>
      <w:tr>
        <w:trPr>
          <w:trHeight w:val="168"/>
        </w:trPr>
        <w:tc>
          <w:tcPr>
            <w:tcW w:w="33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Patent costs</w:t>
            </w:r>
          </w:p>
        </w:tc>
        <w:tc>
          <w:tcPr>
            <w:tcW w:w="34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(198,633)</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(532,476)</w:t>
            </w:r>
          </w:p>
        </w:tc>
      </w:tr>
      <w:tr>
        <w:trPr>
          <w:trHeight w:val="168"/>
        </w:trPr>
        <w:tc>
          <w:tcPr>
            <w:tcW w:w="33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Other</w:t>
            </w:r>
          </w:p>
        </w:tc>
        <w:tc>
          <w:tcPr>
            <w:tcW w:w="34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(80,756)</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(853,122)</w:t>
            </w:r>
          </w:p>
        </w:tc>
        <w:tc>
          <w:tcPr>
            <w:tcW w:w="12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(56,405)</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(156,631)</w:t>
            </w:r>
          </w:p>
        </w:tc>
      </w:tr>
      <w:tr>
        <w:trPr>
          <w:trHeight w:val="168"/>
        </w:trPr>
        <w:tc>
          <w:tcPr>
            <w:tcW w:w="3320" w:type="dxa"/>
            <w:vAlign w:val="bottom"/>
          </w:tcPr>
          <w:p>
            <w:pPr>
              <w:spacing w:after="0"/>
              <w:rPr>
                <w:sz w:val="14"/>
                <w:szCs w:val="14"/>
                <w:color w:val="auto"/>
              </w:rPr>
            </w:pPr>
          </w:p>
        </w:tc>
        <w:tc>
          <w:tcPr>
            <w:tcW w:w="12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Net deferred taxes</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983,621</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$(1,986,446)</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$ 617,793</w:t>
            </w:r>
          </w:p>
        </w:tc>
        <w:tc>
          <w:tcPr>
            <w:tcW w:w="13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(1,213,862)</w:t>
            </w:r>
          </w:p>
        </w:tc>
      </w:tr>
      <w:tr>
        <w:trPr>
          <w:trHeight w:val="168"/>
        </w:trPr>
        <w:tc>
          <w:tcPr>
            <w:tcW w:w="3320" w:type="dxa"/>
            <w:vAlign w:val="bottom"/>
          </w:tcPr>
          <w:p>
            <w:pPr>
              <w:spacing w:after="0"/>
              <w:rPr>
                <w:sz w:val="14"/>
                <w:szCs w:val="14"/>
                <w:color w:val="auto"/>
              </w:rPr>
            </w:pPr>
          </w:p>
        </w:tc>
        <w:tc>
          <w:tcPr>
            <w:tcW w:w="12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ind w:left="280" w:right="3579"/>
        <w:spacing w:after="0" w:line="234" w:lineRule="auto"/>
        <w:rPr>
          <w:sz w:val="20"/>
          <w:szCs w:val="20"/>
          <w:color w:val="auto"/>
        </w:rPr>
      </w:pPr>
      <w:r>
        <w:rPr>
          <w:rFonts w:ascii="Courier New" w:cs="Courier New" w:eastAsia="Courier New" w:hAnsi="Courier New"/>
          <w:sz w:val="15"/>
          <w:szCs w:val="15"/>
          <w:color w:val="auto"/>
        </w:rPr>
        <w:t>Income taxes paid in cash were approximately $14,012,000, $6,930,000, and $4,926,000 in 1997, 1996 and 1995, respectively.</w:t>
      </w:r>
    </w:p>
    <w:p>
      <w:pPr>
        <w:spacing w:after="0" w:line="167" w:lineRule="exact"/>
        <w:rPr>
          <w:sz w:val="20"/>
          <w:szCs w:val="20"/>
          <w:color w:val="auto"/>
        </w:rPr>
      </w:pPr>
    </w:p>
    <w:p>
      <w:pPr>
        <w:ind w:left="440" w:hanging="430"/>
        <w:spacing w:after="0"/>
        <w:tabs>
          <w:tab w:leader="none" w:pos="44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BENEFIT PLAN</w:t>
      </w:r>
    </w:p>
    <w:p>
      <w:pPr>
        <w:spacing w:after="0" w:line="172" w:lineRule="exact"/>
        <w:rPr>
          <w:rFonts w:ascii="Courier New" w:cs="Courier New" w:eastAsia="Courier New" w:hAnsi="Courier New"/>
          <w:sz w:val="15"/>
          <w:szCs w:val="15"/>
          <w:color w:val="auto"/>
        </w:rPr>
      </w:pPr>
    </w:p>
    <w:p>
      <w:pPr>
        <w:ind w:left="620" w:right="3319" w:hanging="175"/>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a 401(k) retirement savings plan in which substantially all of its employees may participate. The plan includes a provision for the Company to match a percentage of the employee's contributions at a rate determined by the Company's Board of Directors. In 1997, 1996 and 1995, the Company's contributions were approximately $293,000, $208,000, and $151,000, respectively.</w:t>
      </w:r>
    </w:p>
    <w:p>
      <w:pPr>
        <w:spacing w:after="0" w:line="168"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does not provide health care benefits to retired employees.</w:t>
      </w:r>
    </w:p>
    <w:p>
      <w:pPr>
        <w:spacing w:after="0" w:line="166"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SHAREHOLDER PROTECTION RIGHTS PLAN</w:t>
      </w:r>
    </w:p>
    <w:p>
      <w:pPr>
        <w:spacing w:after="0" w:line="172" w:lineRule="exact"/>
        <w:rPr>
          <w:rFonts w:ascii="Courier New" w:cs="Courier New" w:eastAsia="Courier New" w:hAnsi="Courier New"/>
          <w:sz w:val="15"/>
          <w:szCs w:val="15"/>
          <w:color w:val="auto"/>
        </w:rPr>
      </w:pPr>
    </w:p>
    <w:p>
      <w:pPr>
        <w:ind w:left="620" w:right="3679" w:hanging="175"/>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August 1991, the Company's Board of Directors adopted a Shareholder Protection Rights Plan (the Plan). The Plan is designed to protect shareholders against unsolicited attempts to acquire control of the Company in a manner that does not offer a fair price to all shareholders.</w:t>
      </w:r>
    </w:p>
    <w:p>
      <w:pPr>
        <w:spacing w:after="0" w:line="173" w:lineRule="exact"/>
        <w:rPr>
          <w:rFonts w:ascii="Courier New" w:cs="Courier New" w:eastAsia="Courier New" w:hAnsi="Courier New"/>
          <w:sz w:val="15"/>
          <w:szCs w:val="15"/>
          <w:color w:val="auto"/>
        </w:rPr>
      </w:pPr>
    </w:p>
    <w:p>
      <w:pPr>
        <w:ind w:left="620" w:right="3319" w:hanging="175"/>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Under the Plan, one purchase Right automatically trades with each share of the Company's common stock. Each Right entitles a shareholder to purchase 1/100 of a share of junior participating preferred stock at a price of $54, if any person or group attempts certain hostile takeover tactics toward the Company. Under certain hostile takeover circumstances, each Right may entitle the holder to purchase the Company's common stock at one-half its market value or to purchase the securities of any acquiring entity at one-half their market value. Rights are subject to redemption by the Company at $.0025 per Right and, unless earlier redeemed, will expire on August 26, 2001. Rights beneficially owned by holders of 15 percent or more of the Company's common stock, or their transferees, automatically become void.</w:t>
      </w:r>
    </w:p>
    <w:p>
      <w:pPr>
        <w:spacing w:after="0" w:line="200" w:lineRule="exact"/>
        <w:rPr>
          <w:sz w:val="20"/>
          <w:szCs w:val="20"/>
          <w:color w:val="auto"/>
        </w:rPr>
      </w:pPr>
    </w:p>
    <w:p>
      <w:pPr>
        <w:spacing w:after="0" w:line="29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39"/>
          </w:cols>
          <w:pgMar w:left="220" w:top="281" w:right="1440" w:bottom="181" w:gutter="0" w:footer="0" w:header="0"/>
        </w:sectPr>
      </w:pPr>
    </w:p>
    <w:bookmarkStart w:id="29" w:name="page30"/>
    <w:bookmarkEnd w:id="29"/>
    <w:p>
      <w:pPr>
        <w:ind w:left="280"/>
        <w:spacing w:after="0"/>
        <w:rPr>
          <w:sz w:val="20"/>
          <w:szCs w:val="20"/>
          <w:color w:val="auto"/>
        </w:rPr>
      </w:pPr>
      <w:r>
        <w:rPr>
          <w:rFonts w:ascii="Courier New" w:cs="Courier New" w:eastAsia="Courier New" w:hAnsi="Courier New"/>
          <w:sz w:val="15"/>
          <w:szCs w:val="15"/>
          <w:color w:val="auto"/>
        </w:rPr>
        <w:t>27</w:t>
      </w:r>
    </w:p>
    <w:p>
      <w:pPr>
        <w:ind w:left="1940"/>
        <w:spacing w:after="0" w:line="237" w:lineRule="auto"/>
        <w:rPr>
          <w:sz w:val="20"/>
          <w:szCs w:val="20"/>
          <w:color w:val="auto"/>
        </w:rPr>
      </w:pPr>
      <w:r>
        <w:rPr>
          <w:rFonts w:ascii="Courier New" w:cs="Courier New" w:eastAsia="Courier New" w:hAnsi="Courier New"/>
          <w:sz w:val="15"/>
          <w:szCs w:val="15"/>
          <w:color w:val="auto"/>
        </w:rPr>
        <w:t>GENTEX CORPORATION AND SUBSIDIARIES</w:t>
      </w:r>
    </w:p>
    <w:p>
      <w:pPr>
        <w:spacing w:after="0" w:line="167"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6"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(Continued)</w:t>
      </w:r>
    </w:p>
    <w:p>
      <w:pPr>
        <w:spacing w:after="0" w:line="166" w:lineRule="exact"/>
        <w:rPr>
          <w:sz w:val="20"/>
          <w:szCs w:val="20"/>
          <w:color w:val="auto"/>
        </w:rPr>
      </w:pPr>
    </w:p>
    <w:p>
      <w:pPr>
        <w:ind w:left="440" w:hanging="430"/>
        <w:spacing w:after="0"/>
        <w:tabs>
          <w:tab w:leader="none" w:pos="44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BASED COMPENSATION PLANS</w:t>
      </w:r>
    </w:p>
    <w:p>
      <w:pPr>
        <w:spacing w:after="0" w:line="166"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three stock option plans, including two employee stock</w:t>
      </w:r>
    </w:p>
    <w:p>
      <w:pPr>
        <w:spacing w:after="0" w:line="4" w:lineRule="exact"/>
        <w:rPr>
          <w:rFonts w:ascii="Courier New" w:cs="Courier New" w:eastAsia="Courier New" w:hAnsi="Courier New"/>
          <w:sz w:val="15"/>
          <w:szCs w:val="15"/>
          <w:color w:val="auto"/>
        </w:rPr>
      </w:pPr>
    </w:p>
    <w:p>
      <w:pPr>
        <w:ind w:left="620"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option plans ("Employee Plans") and a non-employee directors stock option plan ("Director Plan"), and an employee stock purchase plan. The Company accounts for these plans under APB Opinion No. 25, under which no compensation cost has been recognized. Had compensation cost for these plans been determined consistent with FASB Statement No. 123, the Company's net income and earnings per share would have been reduced to the follow pro-forma amounts: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1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1997</w:t>
            </w:r>
          </w:p>
        </w:tc>
        <w:tc>
          <w:tcPr>
            <w:tcW w:w="180" w:type="dxa"/>
            <w:vAlign w:val="bottom"/>
          </w:tcPr>
          <w:p>
            <w:pPr>
              <w:spacing w:after="0"/>
              <w:rPr>
                <w:sz w:val="14"/>
                <w:szCs w:val="1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1996</w:t>
            </w:r>
          </w:p>
        </w:tc>
        <w:tc>
          <w:tcPr>
            <w:tcW w:w="180" w:type="dxa"/>
            <w:vAlign w:val="bottom"/>
          </w:tcPr>
          <w:p>
            <w:pPr>
              <w:spacing w:after="0"/>
              <w:rPr>
                <w:sz w:val="14"/>
                <w:szCs w:val="1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1995</w:t>
            </w:r>
          </w:p>
        </w:tc>
      </w:tr>
      <w:tr>
        <w:trPr>
          <w:trHeight w:val="168"/>
        </w:trPr>
        <w:tc>
          <w:tcPr>
            <w:tcW w:w="1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3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140" w:type="dxa"/>
            <w:vAlign w:val="bottom"/>
          </w:tcPr>
          <w:p>
            <w:pPr>
              <w:ind w:left="80"/>
              <w:spacing w:after="0"/>
              <w:rPr>
                <w:sz w:val="20"/>
                <w:szCs w:val="20"/>
                <w:color w:val="auto"/>
              </w:rPr>
            </w:pPr>
            <w:r>
              <w:rPr>
                <w:rFonts w:ascii="Courier New" w:cs="Courier New" w:eastAsia="Courier New" w:hAnsi="Courier New"/>
                <w:sz w:val="15"/>
                <w:szCs w:val="15"/>
                <w:color w:val="auto"/>
              </w:rPr>
              <w:t>As reported</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35,230,000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23,963,000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w w:val="95"/>
              </w:rPr>
              <w:t>18,895,000</w:t>
            </w:r>
          </w:p>
        </w:tc>
      </w:tr>
      <w:tr>
        <w:trPr>
          <w:trHeight w:val="168"/>
        </w:trPr>
        <w:tc>
          <w:tcPr>
            <w:tcW w:w="1320" w:type="dxa"/>
            <w:vAlign w:val="bottom"/>
          </w:tcPr>
          <w:p>
            <w:pPr>
              <w:spacing w:after="0"/>
              <w:rPr>
                <w:sz w:val="14"/>
                <w:szCs w:val="14"/>
                <w:color w:val="auto"/>
              </w:rPr>
            </w:pPr>
          </w:p>
        </w:tc>
        <w:tc>
          <w:tcPr>
            <w:tcW w:w="1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Pro Forma</w:t>
            </w:r>
          </w:p>
        </w:tc>
        <w:tc>
          <w:tcPr>
            <w:tcW w:w="1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32,535,000</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21,863,000</w:t>
            </w:r>
          </w:p>
        </w:tc>
        <w:tc>
          <w:tcPr>
            <w:tcW w:w="18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18,237,000</w:t>
            </w:r>
          </w:p>
        </w:tc>
      </w:tr>
      <w:tr>
        <w:trPr>
          <w:trHeight w:val="336"/>
        </w:trPr>
        <w:tc>
          <w:tcPr>
            <w:tcW w:w="1320" w:type="dxa"/>
            <w:vAlign w:val="bottom"/>
          </w:tcPr>
          <w:p>
            <w:pPr>
              <w:spacing w:after="0"/>
              <w:rPr>
                <w:sz w:val="20"/>
                <w:szCs w:val="20"/>
                <w:color w:val="auto"/>
              </w:rPr>
            </w:pPr>
            <w:r>
              <w:rPr>
                <w:rFonts w:ascii="Courier New" w:cs="Courier New" w:eastAsia="Courier New" w:hAnsi="Courier New"/>
                <w:sz w:val="15"/>
                <w:szCs w:val="15"/>
                <w:color w:val="auto"/>
              </w:rPr>
              <w:t>EPS (diluted):</w:t>
            </w:r>
          </w:p>
        </w:tc>
        <w:tc>
          <w:tcPr>
            <w:tcW w:w="1140" w:type="dxa"/>
            <w:vAlign w:val="bottom"/>
          </w:tcPr>
          <w:p>
            <w:pPr>
              <w:ind w:left="80"/>
              <w:spacing w:after="0"/>
              <w:rPr>
                <w:sz w:val="20"/>
                <w:szCs w:val="20"/>
                <w:color w:val="auto"/>
              </w:rPr>
            </w:pPr>
            <w:r>
              <w:rPr>
                <w:rFonts w:ascii="Courier New" w:cs="Courier New" w:eastAsia="Courier New" w:hAnsi="Courier New"/>
                <w:sz w:val="15"/>
                <w:szCs w:val="15"/>
                <w:color w:val="auto"/>
              </w:rPr>
              <w:t>As Reported</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0.98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0.67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0.55</w:t>
            </w:r>
          </w:p>
        </w:tc>
      </w:tr>
      <w:tr>
        <w:trPr>
          <w:trHeight w:val="168"/>
        </w:trPr>
        <w:tc>
          <w:tcPr>
            <w:tcW w:w="1320" w:type="dxa"/>
            <w:vAlign w:val="bottom"/>
          </w:tcPr>
          <w:p>
            <w:pPr>
              <w:spacing w:after="0"/>
              <w:rPr>
                <w:sz w:val="14"/>
                <w:szCs w:val="14"/>
                <w:color w:val="auto"/>
              </w:rPr>
            </w:pPr>
          </w:p>
        </w:tc>
        <w:tc>
          <w:tcPr>
            <w:tcW w:w="1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Pro Forma</w:t>
            </w:r>
          </w:p>
        </w:tc>
        <w:tc>
          <w:tcPr>
            <w:tcW w:w="1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0.90</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0.62</w:t>
            </w:r>
          </w:p>
        </w:tc>
        <w:tc>
          <w:tcPr>
            <w:tcW w:w="18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0.53</w:t>
            </w:r>
          </w:p>
        </w:tc>
      </w:tr>
    </w:tbl>
    <w:p>
      <w:pPr>
        <w:spacing w:after="0" w:line="200" w:lineRule="exact"/>
        <w:rPr>
          <w:sz w:val="20"/>
          <w:szCs w:val="20"/>
          <w:color w:val="auto"/>
        </w:rPr>
      </w:pPr>
    </w:p>
    <w:p>
      <w:pPr>
        <w:spacing w:after="0" w:line="309" w:lineRule="exact"/>
        <w:rPr>
          <w:sz w:val="20"/>
          <w:szCs w:val="20"/>
          <w:color w:val="auto"/>
        </w:rPr>
      </w:pPr>
    </w:p>
    <w:p>
      <w:pPr>
        <w:ind w:left="620" w:right="3579" w:hanging="174"/>
        <w:spacing w:after="0" w:line="235" w:lineRule="auto"/>
        <w:rPr>
          <w:sz w:val="20"/>
          <w:szCs w:val="20"/>
          <w:color w:val="auto"/>
        </w:rPr>
      </w:pPr>
      <w:r>
        <w:rPr>
          <w:rFonts w:ascii="Courier New" w:cs="Courier New" w:eastAsia="Courier New" w:hAnsi="Courier New"/>
          <w:sz w:val="15"/>
          <w:szCs w:val="15"/>
          <w:color w:val="auto"/>
        </w:rPr>
        <w:t>Because the Statement 123 method of accounting has not been applied to options granted prior to January 1, 1995, the resulting pro forma compensation cost may not be representative of that to be expected in future years.</w:t>
      </w:r>
    </w:p>
    <w:p>
      <w:pPr>
        <w:spacing w:after="0" w:line="175" w:lineRule="exact"/>
        <w:rPr>
          <w:sz w:val="20"/>
          <w:szCs w:val="20"/>
          <w:color w:val="auto"/>
        </w:rPr>
      </w:pPr>
    </w:p>
    <w:p>
      <w:pPr>
        <w:ind w:left="620" w:right="3399" w:hanging="174"/>
        <w:spacing w:after="0" w:line="236" w:lineRule="auto"/>
        <w:rPr>
          <w:sz w:val="20"/>
          <w:szCs w:val="20"/>
          <w:color w:val="auto"/>
        </w:rPr>
      </w:pPr>
      <w:r>
        <w:rPr>
          <w:rFonts w:ascii="Courier New" w:cs="Courier New" w:eastAsia="Courier New" w:hAnsi="Courier New"/>
          <w:sz w:val="15"/>
          <w:szCs w:val="15"/>
          <w:color w:val="auto"/>
        </w:rPr>
        <w:t>The Company may sell up to 800,000 shares of stock to its employees under the Employee Stock Purchase Plan. The Company has sold to employees 35,102 shares, 31,893 shares, and 36,132 shares in 1997, 1996 and 1995, respectively, and has sold a total of 156,197 shares through December 31, 1997. The Company sells shares at 85% of the stock's market price at date of purchase. The weighted average fair value of shares sold in 1997 was approximately $22.</w:t>
      </w:r>
    </w:p>
    <w:p>
      <w:pPr>
        <w:spacing w:after="0" w:line="176" w:lineRule="exact"/>
        <w:rPr>
          <w:sz w:val="20"/>
          <w:szCs w:val="20"/>
          <w:color w:val="auto"/>
        </w:rPr>
      </w:pPr>
    </w:p>
    <w:p>
      <w:pPr>
        <w:ind w:left="620" w:right="3499" w:hanging="174"/>
        <w:spacing w:after="0" w:line="236" w:lineRule="auto"/>
        <w:rPr>
          <w:sz w:val="20"/>
          <w:szCs w:val="20"/>
          <w:color w:val="auto"/>
        </w:rPr>
      </w:pPr>
      <w:r>
        <w:rPr>
          <w:rFonts w:ascii="Courier New" w:cs="Courier New" w:eastAsia="Courier New" w:hAnsi="Courier New"/>
          <w:sz w:val="15"/>
          <w:szCs w:val="15"/>
          <w:color w:val="auto"/>
        </w:rPr>
        <w:t>The Company may grant options for up to 9,708,000 shares under the Employee Plans. The Company has granted options on 6,864,500 shares through December 31, 1997. Under the Plans, the option exercise price equals the stock's market price on date of grant. The Employee Plan options vest after one to five years, and expire after five to seven years.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260" w:type="dxa"/>
            <w:vAlign w:val="bottom"/>
            <w:gridSpan w:val="6"/>
          </w:tcPr>
          <w:p>
            <w:pPr>
              <w:ind w:left="440"/>
              <w:spacing w:after="0"/>
              <w:rPr>
                <w:sz w:val="20"/>
                <w:szCs w:val="20"/>
                <w:color w:val="auto"/>
              </w:rPr>
            </w:pPr>
            <w:r>
              <w:rPr>
                <w:rFonts w:ascii="Courier New" w:cs="Courier New" w:eastAsia="Courier New" w:hAnsi="Courier New"/>
                <w:sz w:val="15"/>
                <w:szCs w:val="15"/>
                <w:color w:val="auto"/>
                <w:w w:val="97"/>
              </w:rPr>
              <w:t>A summary of the status of the Company's two employee stock option</w:t>
            </w: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30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w w:val="97"/>
              </w:rPr>
              <w:t>plans at December 31, 1997,</w:t>
            </w:r>
          </w:p>
        </w:tc>
        <w:tc>
          <w:tcPr>
            <w:tcW w:w="3940" w:type="dxa"/>
            <w:vAlign w:val="bottom"/>
            <w:gridSpan w:val="6"/>
          </w:tcPr>
          <w:p>
            <w:pPr>
              <w:jc w:val="right"/>
              <w:ind w:right="47"/>
              <w:spacing w:after="0" w:line="168" w:lineRule="exact"/>
              <w:rPr>
                <w:sz w:val="20"/>
                <w:szCs w:val="20"/>
                <w:color w:val="auto"/>
              </w:rPr>
            </w:pPr>
            <w:r>
              <w:rPr>
                <w:rFonts w:ascii="Courier New" w:cs="Courier New" w:eastAsia="Courier New" w:hAnsi="Courier New"/>
                <w:sz w:val="15"/>
                <w:szCs w:val="15"/>
                <w:color w:val="auto"/>
                <w:w w:val="98"/>
              </w:rPr>
              <w:t>1996 and 1995, and changes during the years</w:t>
            </w:r>
          </w:p>
        </w:tc>
        <w:tc>
          <w:tcPr>
            <w:tcW w:w="840" w:type="dxa"/>
            <w:vAlign w:val="bottom"/>
          </w:tcPr>
          <w:p>
            <w:pPr>
              <w:spacing w:after="0"/>
              <w:rPr>
                <w:sz w:val="14"/>
                <w:szCs w:val="14"/>
                <w:color w:val="auto"/>
              </w:rPr>
            </w:pPr>
          </w:p>
        </w:tc>
      </w:tr>
      <w:tr>
        <w:trPr>
          <w:trHeight w:val="168"/>
        </w:trPr>
        <w:tc>
          <w:tcPr>
            <w:tcW w:w="560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rPr>
              <w:t>then ended is presented in the table and narrative below:</w:t>
            </w: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841"/>
        </w:trPr>
        <w:tc>
          <w:tcPr>
            <w:tcW w:w="3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jc w:val="right"/>
              <w:ind w:right="587"/>
              <w:spacing w:after="0"/>
              <w:rPr>
                <w:sz w:val="20"/>
                <w:szCs w:val="20"/>
                <w:color w:val="auto"/>
              </w:rPr>
            </w:pPr>
            <w:r>
              <w:rPr>
                <w:rFonts w:ascii="Courier New" w:cs="Courier New" w:eastAsia="Courier New" w:hAnsi="Courier New"/>
                <w:sz w:val="15"/>
                <w:szCs w:val="15"/>
                <w:color w:val="auto"/>
                <w:w w:val="94"/>
              </w:rPr>
              <w:t>1997</w:t>
            </w:r>
          </w:p>
        </w:tc>
        <w:tc>
          <w:tcPr>
            <w:tcW w:w="660" w:type="dxa"/>
            <w:vAlign w:val="bottom"/>
          </w:tcPr>
          <w:p>
            <w:pPr>
              <w:spacing w:after="0"/>
              <w:rPr>
                <w:sz w:val="24"/>
                <w:szCs w:val="24"/>
                <w:color w:val="auto"/>
              </w:rPr>
            </w:pPr>
          </w:p>
        </w:tc>
        <w:tc>
          <w:tcPr>
            <w:tcW w:w="420" w:type="dxa"/>
            <w:vAlign w:val="bottom"/>
          </w:tcPr>
          <w:p>
            <w:pPr>
              <w:jc w:val="right"/>
              <w:ind w:right="7"/>
              <w:spacing w:after="0"/>
              <w:rPr>
                <w:sz w:val="20"/>
                <w:szCs w:val="20"/>
                <w:color w:val="auto"/>
              </w:rPr>
            </w:pPr>
            <w:r>
              <w:rPr>
                <w:rFonts w:ascii="Courier New" w:cs="Courier New" w:eastAsia="Courier New" w:hAnsi="Courier New"/>
                <w:sz w:val="15"/>
                <w:szCs w:val="15"/>
                <w:color w:val="auto"/>
                <w:w w:val="88"/>
              </w:rPr>
              <w:t>1996</w:t>
            </w:r>
          </w:p>
        </w:tc>
        <w:tc>
          <w:tcPr>
            <w:tcW w:w="660" w:type="dxa"/>
            <w:vAlign w:val="bottom"/>
          </w:tcPr>
          <w:p>
            <w:pPr>
              <w:spacing w:after="0"/>
              <w:rPr>
                <w:sz w:val="24"/>
                <w:szCs w:val="24"/>
                <w:color w:val="auto"/>
              </w:rPr>
            </w:pPr>
          </w:p>
        </w:tc>
        <w:tc>
          <w:tcPr>
            <w:tcW w:w="154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1995</w:t>
            </w:r>
          </w:p>
        </w:tc>
      </w:tr>
      <w:tr>
        <w:trPr>
          <w:trHeight w:val="168"/>
        </w:trPr>
        <w:tc>
          <w:tcPr>
            <w:tcW w:w="45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3"/>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3500" w:type="dxa"/>
            <w:vAlign w:val="bottom"/>
            <w:gridSpan w:val="2"/>
          </w:tcPr>
          <w:p>
            <w:pPr>
              <w:ind w:left="2980"/>
              <w:spacing w:after="0" w:line="168" w:lineRule="exact"/>
              <w:rPr>
                <w:sz w:val="20"/>
                <w:szCs w:val="20"/>
                <w:color w:val="auto"/>
              </w:rPr>
            </w:pPr>
            <w:r>
              <w:rPr>
                <w:rFonts w:ascii="Courier New" w:cs="Courier New" w:eastAsia="Courier New" w:hAnsi="Courier New"/>
                <w:sz w:val="15"/>
                <w:szCs w:val="15"/>
                <w:color w:val="auto"/>
                <w:w w:val="92"/>
              </w:rPr>
              <w:t>Shares</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Wtd. Avg.</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Shares</w:t>
            </w:r>
          </w:p>
        </w:tc>
        <w:tc>
          <w:tcPr>
            <w:tcW w:w="108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Wtd. Avg.</w:t>
            </w: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Shares</w:t>
            </w:r>
          </w:p>
        </w:tc>
        <w:tc>
          <w:tcPr>
            <w:tcW w:w="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Wtd. Avg.</w:t>
            </w:r>
          </w:p>
        </w:tc>
      </w:tr>
      <w:tr>
        <w:trPr>
          <w:trHeight w:val="168"/>
        </w:trPr>
        <w:tc>
          <w:tcPr>
            <w:tcW w:w="3500" w:type="dxa"/>
            <w:vAlign w:val="bottom"/>
            <w:gridSpan w:val="2"/>
          </w:tcPr>
          <w:p>
            <w:pPr>
              <w:ind w:left="2980"/>
              <w:spacing w:after="0" w:line="168" w:lineRule="exact"/>
              <w:rPr>
                <w:sz w:val="20"/>
                <w:szCs w:val="20"/>
                <w:color w:val="auto"/>
              </w:rPr>
            </w:pPr>
            <w:r>
              <w:rPr>
                <w:rFonts w:ascii="Courier New" w:cs="Courier New" w:eastAsia="Courier New" w:hAnsi="Courier New"/>
                <w:sz w:val="15"/>
                <w:szCs w:val="15"/>
                <w:color w:val="auto"/>
              </w:rPr>
              <w:t>(000)</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Ex price</w:t>
            </w: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(000)</w:t>
            </w:r>
          </w:p>
        </w:tc>
        <w:tc>
          <w:tcPr>
            <w:tcW w:w="108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Ex price</w:t>
            </w: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(000)</w:t>
            </w:r>
          </w:p>
        </w:tc>
        <w:tc>
          <w:tcPr>
            <w:tcW w:w="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Ex price</w:t>
            </w:r>
          </w:p>
        </w:tc>
      </w:tr>
      <w:tr>
        <w:trPr>
          <w:trHeight w:val="168"/>
        </w:trPr>
        <w:tc>
          <w:tcPr>
            <w:tcW w:w="35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020" w:type="dxa"/>
            <w:vAlign w:val="bottom"/>
          </w:tcPr>
          <w:p>
            <w:pPr>
              <w:spacing w:after="0"/>
              <w:rPr>
                <w:sz w:val="20"/>
                <w:szCs w:val="20"/>
                <w:color w:val="auto"/>
              </w:rPr>
            </w:pPr>
            <w:r>
              <w:rPr>
                <w:rFonts w:ascii="Courier New" w:cs="Courier New" w:eastAsia="Courier New" w:hAnsi="Courier New"/>
                <w:sz w:val="15"/>
                <w:szCs w:val="15"/>
                <w:color w:val="auto"/>
              </w:rPr>
              <w:t>Outstanding at Beginning of Year</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2,529</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$11</w:t>
            </w: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2,899</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8</w:t>
            </w:r>
          </w:p>
        </w:tc>
        <w:tc>
          <w:tcPr>
            <w:tcW w:w="7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2,910</w:t>
            </w: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$ 6</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Granted</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491</w:t>
            </w: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23</w:t>
            </w: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515</w:t>
            </w:r>
          </w:p>
        </w:tc>
        <w:tc>
          <w:tcPr>
            <w:tcW w:w="420" w:type="dxa"/>
            <w:vAlign w:val="bottom"/>
          </w:tcPr>
          <w:p>
            <w:pPr>
              <w:spacing w:after="0"/>
              <w:rPr>
                <w:sz w:val="14"/>
                <w:szCs w:val="14"/>
                <w:color w:val="auto"/>
              </w:rPr>
            </w:pPr>
          </w:p>
        </w:tc>
        <w:tc>
          <w:tcPr>
            <w:tcW w:w="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88"/>
              </w:rPr>
              <w:t>18</w:t>
            </w: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642</w:t>
            </w: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Exercised</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(593)</w:t>
            </w: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(878)</w:t>
            </w:r>
          </w:p>
        </w:tc>
        <w:tc>
          <w:tcPr>
            <w:tcW w:w="420" w:type="dxa"/>
            <w:vAlign w:val="bottom"/>
          </w:tcPr>
          <w:p>
            <w:pPr>
              <w:spacing w:after="0"/>
              <w:rPr>
                <w:sz w:val="14"/>
                <w:szCs w:val="14"/>
                <w:color w:val="auto"/>
              </w:rPr>
            </w:pPr>
          </w:p>
        </w:tc>
        <w:tc>
          <w:tcPr>
            <w:tcW w:w="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(635)</w:t>
            </w: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Forfeited</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(74)</w:t>
            </w: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18</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w:t>
            </w:r>
          </w:p>
        </w:tc>
        <w:tc>
          <w:tcPr>
            <w:tcW w:w="420" w:type="dxa"/>
            <w:vAlign w:val="bottom"/>
          </w:tcPr>
          <w:p>
            <w:pPr>
              <w:spacing w:after="0"/>
              <w:rPr>
                <w:sz w:val="14"/>
                <w:szCs w:val="14"/>
                <w:color w:val="auto"/>
              </w:rPr>
            </w:pPr>
          </w:p>
        </w:tc>
        <w:tc>
          <w:tcPr>
            <w:tcW w:w="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88"/>
              </w:rPr>
              <w:t>14</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w:t>
            </w: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Expired</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4"/>
                <w:szCs w:val="14"/>
                <w:color w:val="auto"/>
              </w:rPr>
            </w:pPr>
          </w:p>
        </w:tc>
        <w:tc>
          <w:tcPr>
            <w:tcW w:w="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Outstanding at End of Year</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2,353</w:t>
            </w: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15</w:t>
            </w: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2,529</w:t>
            </w:r>
          </w:p>
        </w:tc>
        <w:tc>
          <w:tcPr>
            <w:tcW w:w="420" w:type="dxa"/>
            <w:vAlign w:val="bottom"/>
          </w:tcPr>
          <w:p>
            <w:pPr>
              <w:spacing w:after="0"/>
              <w:rPr>
                <w:sz w:val="14"/>
                <w:szCs w:val="14"/>
                <w:color w:val="auto"/>
              </w:rPr>
            </w:pPr>
          </w:p>
        </w:tc>
        <w:tc>
          <w:tcPr>
            <w:tcW w:w="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88"/>
              </w:rPr>
              <w:t>11</w:t>
            </w: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2,899</w:t>
            </w: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w:t>
            </w:r>
          </w:p>
        </w:tc>
      </w:tr>
      <w:tr>
        <w:trPr>
          <w:trHeight w:val="168"/>
        </w:trPr>
        <w:tc>
          <w:tcPr>
            <w:tcW w:w="35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Exercisable at End of Year</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1,032</w:t>
            </w: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11</w:t>
            </w: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1,010</w:t>
            </w:r>
          </w:p>
        </w:tc>
        <w:tc>
          <w:tcPr>
            <w:tcW w:w="420" w:type="dxa"/>
            <w:vAlign w:val="bottom"/>
          </w:tcPr>
          <w:p>
            <w:pPr>
              <w:spacing w:after="0"/>
              <w:rPr>
                <w:sz w:val="14"/>
                <w:szCs w:val="14"/>
                <w:color w:val="auto"/>
              </w:rPr>
            </w:pPr>
          </w:p>
        </w:tc>
        <w:tc>
          <w:tcPr>
            <w:tcW w:w="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w:t>
            </w: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1,204</w:t>
            </w: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Avg. Fair Value</w:t>
            </w: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30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of Options Granted</w:t>
            </w:r>
          </w:p>
        </w:tc>
        <w:tc>
          <w:tcPr>
            <w:tcW w:w="480" w:type="dxa"/>
            <w:vAlign w:val="bottom"/>
          </w:tcPr>
          <w:p>
            <w:pPr>
              <w:spacing w:after="0"/>
              <w:rPr>
                <w:sz w:val="14"/>
                <w:szCs w:val="14"/>
                <w:color w:val="auto"/>
              </w:rPr>
            </w:pP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w:t>
            </w:r>
          </w:p>
        </w:tc>
        <w:tc>
          <w:tcPr>
            <w:tcW w:w="660" w:type="dxa"/>
            <w:vAlign w:val="bottom"/>
          </w:tcPr>
          <w:p>
            <w:pPr>
              <w:spacing w:after="0"/>
              <w:rPr>
                <w:sz w:val="14"/>
                <w:szCs w:val="14"/>
                <w:color w:val="auto"/>
              </w:rPr>
            </w:pP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9</w:t>
            </w:r>
          </w:p>
        </w:tc>
        <w:tc>
          <w:tcPr>
            <w:tcW w:w="70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$ 6</w:t>
            </w:r>
          </w:p>
        </w:tc>
      </w:tr>
    </w:tbl>
    <w:p>
      <w:pPr>
        <w:spacing w:after="0" w:line="200" w:lineRule="exact"/>
        <w:rPr>
          <w:sz w:val="20"/>
          <w:szCs w:val="20"/>
          <w:color w:val="auto"/>
        </w:rPr>
      </w:pPr>
    </w:p>
    <w:p>
      <w:pPr>
        <w:spacing w:after="0" w:line="309" w:lineRule="exact"/>
        <w:rPr>
          <w:sz w:val="20"/>
          <w:szCs w:val="20"/>
          <w:color w:val="auto"/>
        </w:rPr>
      </w:pPr>
    </w:p>
    <w:p>
      <w:pPr>
        <w:ind w:left="620" w:right="3319" w:hanging="436"/>
        <w:spacing w:after="0" w:line="255" w:lineRule="auto"/>
        <w:rPr>
          <w:sz w:val="20"/>
          <w:szCs w:val="20"/>
          <w:color w:val="auto"/>
        </w:rPr>
      </w:pPr>
      <w:r>
        <w:rPr>
          <w:rFonts w:ascii="Courier New" w:cs="Courier New" w:eastAsia="Courier New" w:hAnsi="Courier New"/>
          <w:sz w:val="14"/>
          <w:szCs w:val="14"/>
          <w:color w:val="auto"/>
        </w:rPr>
        <w:t>1,362 of the 2,353 options outstanding at December 31, 1997, have exercise prices between $1 and $14, with a weighted average exercise price of $11 and a weighted average remaining contractual life of 2 years. 871 of these options are exercisable; their weighted average exercise price is $10. The remaining 991 options have exercise prices between $15 and $26, with a weighted average exercise price of $20 and a weighted average remaining contractual life of 4 years. 161 of these options are exercisable; their weighted average exercise price is $18.</w:t>
      </w:r>
    </w:p>
    <w:p>
      <w:pPr>
        <w:spacing w:after="0" w:line="166" w:lineRule="exact"/>
        <w:rPr>
          <w:sz w:val="20"/>
          <w:szCs w:val="20"/>
          <w:color w:val="auto"/>
        </w:rPr>
      </w:pPr>
    </w:p>
    <w:p>
      <w:pPr>
        <w:ind w:left="620" w:right="3679" w:hanging="436"/>
        <w:spacing w:after="0" w:line="236" w:lineRule="auto"/>
        <w:rPr>
          <w:sz w:val="20"/>
          <w:szCs w:val="20"/>
          <w:color w:val="auto"/>
        </w:rPr>
      </w:pPr>
      <w:r>
        <w:rPr>
          <w:rFonts w:ascii="Courier New" w:cs="Courier New" w:eastAsia="Courier New" w:hAnsi="Courier New"/>
          <w:sz w:val="15"/>
          <w:szCs w:val="15"/>
          <w:color w:val="auto"/>
        </w:rPr>
        <w:t>The fair value of each option grant is estimated on the date of grant using the Black-Scholes option pricing model with the following weighted-average assumptions used for grants in 1997, 1996 and 1995, respectively: risk-free interest rates of 6.2, 6.4 and 6.2 percent; expected dividend yields of 0.0, 0.0 and 0.0 percent; expected lives ranging from 5 to 7 years, 5 to 7 years and 4 to 7 years; expected volatility of 118, 47 and 54 percent.</w:t>
      </w:r>
    </w:p>
    <w:p>
      <w:pPr>
        <w:sectPr>
          <w:pgSz w:w="11900" w:h="16838" w:orient="portrait"/>
          <w:cols w:equalWidth="0" w:num="1">
            <w:col w:w="10239"/>
          </w:cols>
          <w:pgMar w:left="220" w:top="281" w:right="1440" w:bottom="15" w:gutter="0" w:footer="0" w:header="0"/>
        </w:sectPr>
      </w:pPr>
    </w:p>
    <w:bookmarkStart w:id="30" w:name="page31"/>
    <w:bookmarkEnd w:id="30"/>
    <w:p>
      <w:pPr>
        <w:ind w:left="212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9019"/>
          </w:cols>
          <w:pgMar w:left="1440" w:top="141" w:right="1440" w:bottom="1440" w:gutter="0" w:footer="0" w:header="0"/>
        </w:sectPr>
      </w:pPr>
    </w:p>
    <w:bookmarkStart w:id="31" w:name="page32"/>
    <w:bookmarkEnd w:id="31"/>
    <w:p>
      <w:pPr>
        <w:ind w:left="270"/>
        <w:spacing w:after="0"/>
        <w:rPr>
          <w:sz w:val="20"/>
          <w:szCs w:val="20"/>
          <w:color w:val="auto"/>
        </w:rPr>
      </w:pPr>
      <w:r>
        <w:rPr>
          <w:rFonts w:ascii="Courier New" w:cs="Courier New" w:eastAsia="Courier New" w:hAnsi="Courier New"/>
          <w:sz w:val="15"/>
          <w:szCs w:val="15"/>
          <w:color w:val="auto"/>
        </w:rPr>
        <w:t>28</w:t>
      </w:r>
    </w:p>
    <w:p>
      <w:pPr>
        <w:spacing w:after="0" w:line="335" w:lineRule="exact"/>
        <w:rPr>
          <w:sz w:val="20"/>
          <w:szCs w:val="20"/>
          <w:color w:val="auto"/>
        </w:rPr>
      </w:pPr>
    </w:p>
    <w:p>
      <w:pPr>
        <w:ind w:left="1930"/>
        <w:spacing w:after="0"/>
        <w:rPr>
          <w:sz w:val="20"/>
          <w:szCs w:val="20"/>
          <w:color w:val="auto"/>
        </w:rPr>
      </w:pPr>
      <w:r>
        <w:rPr>
          <w:rFonts w:ascii="Courier New" w:cs="Courier New" w:eastAsia="Courier New" w:hAnsi="Courier New"/>
          <w:sz w:val="15"/>
          <w:szCs w:val="15"/>
          <w:color w:val="auto"/>
        </w:rPr>
        <w:t>GENTEX CORPORATION AND SUBSIDIARIES</w:t>
      </w:r>
    </w:p>
    <w:p>
      <w:pPr>
        <w:spacing w:after="0" w:line="166" w:lineRule="exact"/>
        <w:rPr>
          <w:sz w:val="20"/>
          <w:szCs w:val="20"/>
          <w:color w:val="auto"/>
        </w:rPr>
      </w:pPr>
    </w:p>
    <w:p>
      <w:pPr>
        <w:jc w:val="center"/>
        <w:ind w:right="322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6" w:lineRule="exact"/>
        <w:rPr>
          <w:sz w:val="20"/>
          <w:szCs w:val="20"/>
          <w:color w:val="auto"/>
        </w:rPr>
      </w:pPr>
    </w:p>
    <w:p>
      <w:pPr>
        <w:ind w:left="2970"/>
        <w:spacing w:after="0"/>
        <w:rPr>
          <w:sz w:val="20"/>
          <w:szCs w:val="20"/>
          <w:color w:val="auto"/>
        </w:rPr>
      </w:pPr>
      <w:r>
        <w:rPr>
          <w:rFonts w:ascii="Courier New" w:cs="Courier New" w:eastAsia="Courier New" w:hAnsi="Courier New"/>
          <w:sz w:val="15"/>
          <w:szCs w:val="15"/>
          <w:color w:val="auto"/>
        </w:rPr>
        <w:t>(Continued)</w:t>
      </w:r>
    </w:p>
    <w:p>
      <w:pPr>
        <w:spacing w:after="0" w:line="166" w:lineRule="exact"/>
        <w:rPr>
          <w:sz w:val="20"/>
          <w:szCs w:val="20"/>
          <w:color w:val="auto"/>
        </w:rPr>
      </w:pPr>
    </w:p>
    <w:p>
      <w:pPr>
        <w:ind w:left="430" w:hanging="430"/>
        <w:spacing w:after="0"/>
        <w:tabs>
          <w:tab w:leader="none" w:pos="43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BASED COMPENSATION PLANS</w:t>
      </w:r>
    </w:p>
    <w:p>
      <w:pPr>
        <w:spacing w:after="0" w:line="172" w:lineRule="exact"/>
        <w:rPr>
          <w:rFonts w:ascii="Courier New" w:cs="Courier New" w:eastAsia="Courier New" w:hAnsi="Courier New"/>
          <w:sz w:val="15"/>
          <w:szCs w:val="15"/>
          <w:color w:val="auto"/>
        </w:rPr>
      </w:pPr>
    </w:p>
    <w:p>
      <w:pPr>
        <w:ind w:left="610" w:right="3679" w:hanging="175"/>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Company may grant options for up to 1,000,000 shares under the Director Plan. The Company has granted options on 508,000 shares through December 31, 1997. Under the plan the option exercise price equals the stock's market price on date of grant. The Director Plan options vest after six months, and all expire after ten years.</w:t>
      </w:r>
    </w:p>
    <w:p>
      <w:pPr>
        <w:spacing w:after="0" w:line="163" w:lineRule="exact"/>
        <w:rPr>
          <w:rFonts w:ascii="Courier New" w:cs="Courier New" w:eastAsia="Courier New" w:hAnsi="Courier New"/>
          <w:sz w:val="15"/>
          <w:szCs w:val="15"/>
          <w:color w:val="auto"/>
        </w:rPr>
      </w:pPr>
    </w:p>
    <w:p>
      <w:pPr>
        <w:ind w:left="610" w:right="3579" w:hanging="175"/>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 summary of the status of the Director Plan at December 31, 1997, 1996 and 1995, and changes during the years then ended is presented in the table and narrative below:</w:t>
      </w:r>
    </w:p>
    <w:p>
      <w:pPr>
        <w:sectPr>
          <w:pgSz w:w="11900" w:h="16838" w:orient="portrait"/>
          <w:cols w:equalWidth="0" w:num="1">
            <w:col w:w="10229"/>
          </w:cols>
          <w:pgMar w:left="230" w:top="281" w:right="1440" w:bottom="51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110"/>
        <w:spacing w:after="0"/>
        <w:rPr>
          <w:sz w:val="20"/>
          <w:szCs w:val="20"/>
          <w:color w:val="auto"/>
        </w:rPr>
      </w:pPr>
      <w:r>
        <w:rPr>
          <w:rFonts w:ascii="Courier New" w:cs="Courier New" w:eastAsia="Courier New" w:hAnsi="Courier New"/>
          <w:sz w:val="15"/>
          <w:szCs w:val="15"/>
          <w:color w:val="auto"/>
        </w:rPr>
        <w:t>1997</w:t>
      </w:r>
    </w:p>
    <w:p>
      <w:pPr>
        <w:spacing w:after="0" w:line="5" w:lineRule="exact"/>
        <w:rPr>
          <w:sz w:val="20"/>
          <w:szCs w:val="20"/>
          <w:color w:val="auto"/>
        </w:rPr>
      </w:pPr>
    </w:p>
    <w:p>
      <w:pPr>
        <w:ind w:left="3670"/>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ind w:left="3670"/>
        <w:spacing w:after="0"/>
        <w:tabs>
          <w:tab w:leader="none" w:pos="4350" w:val="left"/>
        </w:tabs>
        <w:rPr>
          <w:sz w:val="20"/>
          <w:szCs w:val="20"/>
          <w:color w:val="auto"/>
        </w:rPr>
      </w:pPr>
      <w:r>
        <w:rPr>
          <w:rFonts w:ascii="Courier New" w:cs="Courier New" w:eastAsia="Courier New" w:hAnsi="Courier New"/>
          <w:sz w:val="14"/>
          <w:szCs w:val="14"/>
          <w:color w:val="auto"/>
        </w:rPr>
        <w:t>Shares</w:t>
        <w:tab/>
        <w:t>Wtd. Avg.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1996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Shares</w:t>
        <w:tab/>
        <w:t>Wtd. Avg.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1995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Shares</w:t>
        <w:tab/>
        <w:t>Wtd. Avg.</w:t>
      </w:r>
    </w:p>
    <w:p>
      <w:pPr>
        <w:spacing w:after="0" w:line="10" w:lineRule="exact"/>
        <w:rPr>
          <w:sz w:val="20"/>
          <w:szCs w:val="20"/>
          <w:color w:val="auto"/>
        </w:rPr>
      </w:pPr>
    </w:p>
    <w:p>
      <w:pPr>
        <w:sectPr>
          <w:pgSz w:w="11900" w:h="16838" w:orient="portrait"/>
          <w:cols w:equalWidth="0" w:num="3">
            <w:col w:w="5170" w:space="160"/>
            <w:col w:w="1500" w:space="160"/>
            <w:col w:w="3239"/>
          </w:cols>
          <w:pgMar w:left="230" w:top="281" w:right="1440" w:bottom="517" w:gutter="0" w:footer="0" w:header="0"/>
          <w:type w:val="continuous"/>
        </w:sectPr>
      </w:pPr>
    </w:p>
    <w:p>
      <w:pPr>
        <w:ind w:left="4470" w:hanging="709"/>
        <w:spacing w:after="0"/>
        <w:tabs>
          <w:tab w:leader="none" w:pos="447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 price   (000)   Ex price   (000)   Ex price</w:t>
      </w:r>
    </w:p>
    <w:p>
      <w:pPr>
        <w:spacing w:after="0" w:line="9" w:lineRule="exact"/>
        <w:rPr>
          <w:rFonts w:ascii="Courier New" w:cs="Courier New" w:eastAsia="Courier New" w:hAnsi="Courier New"/>
          <w:sz w:val="14"/>
          <w:szCs w:val="14"/>
          <w:color w:val="auto"/>
        </w:rPr>
      </w:pPr>
    </w:p>
    <w:p>
      <w:pPr>
        <w:ind w:left="367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171" w:lineRule="exact"/>
        <w:rPr>
          <w:sz w:val="20"/>
          <w:szCs w:val="20"/>
          <w:color w:val="auto"/>
        </w:rPr>
      </w:pPr>
    </w:p>
    <w:tbl>
      <w:tblPr>
        <w:tblLayout w:type="fixed"/>
        <w:tblInd w:w="610" w:type="dxa"/>
        <w:tblCellMar>
          <w:top w:w="0" w:type="dxa"/>
          <w:left w:w="0" w:type="dxa"/>
          <w:bottom w:w="0" w:type="dxa"/>
          <w:right w:w="0" w:type="dxa"/>
        </w:tblCellMar>
      </w:tblPr>
      <w:tr>
        <w:trPr>
          <w:trHeight w:val="170"/>
        </w:trPr>
        <w:tc>
          <w:tcPr>
            <w:tcW w:w="2880" w:type="dxa"/>
            <w:vAlign w:val="bottom"/>
          </w:tcPr>
          <w:p>
            <w:pPr>
              <w:spacing w:after="0"/>
              <w:rPr>
                <w:sz w:val="20"/>
                <w:szCs w:val="20"/>
                <w:color w:val="auto"/>
              </w:rPr>
            </w:pPr>
            <w:r>
              <w:rPr>
                <w:rFonts w:ascii="Courier New" w:cs="Courier New" w:eastAsia="Courier New" w:hAnsi="Courier New"/>
                <w:sz w:val="15"/>
                <w:szCs w:val="15"/>
                <w:color w:val="auto"/>
                <w:w w:val="99"/>
              </w:rPr>
              <w:t>Outstanding at Beginning of Year</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284</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$ 8</w:t>
            </w:r>
          </w:p>
        </w:tc>
        <w:tc>
          <w:tcPr>
            <w:tcW w:w="8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264</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7</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224</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$ 6</w:t>
            </w:r>
          </w:p>
        </w:tc>
      </w:tr>
      <w:tr>
        <w:trPr>
          <w:trHeight w:val="168"/>
        </w:trPr>
        <w:tc>
          <w:tcPr>
            <w:tcW w:w="2880" w:type="dxa"/>
            <w:vAlign w:val="bottom"/>
          </w:tcPr>
          <w:p>
            <w:pPr>
              <w:spacing w:after="0" w:line="168" w:lineRule="exact"/>
              <w:rPr>
                <w:sz w:val="20"/>
                <w:szCs w:val="20"/>
                <w:color w:val="auto"/>
              </w:rPr>
            </w:pPr>
            <w:r>
              <w:rPr>
                <w:rFonts w:ascii="Courier New" w:cs="Courier New" w:eastAsia="Courier New" w:hAnsi="Courier New"/>
                <w:sz w:val="15"/>
                <w:szCs w:val="15"/>
                <w:color w:val="auto"/>
              </w:rPr>
              <w:t>Granted</w:t>
            </w: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w:t>
            </w:r>
          </w:p>
        </w:tc>
        <w:tc>
          <w:tcPr>
            <w:tcW w:w="8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40</w:t>
            </w:r>
          </w:p>
        </w:tc>
        <w:tc>
          <w:tcPr>
            <w:tcW w:w="320" w:type="dxa"/>
            <w:vAlign w:val="bottom"/>
          </w:tcPr>
          <w:p>
            <w:pPr>
              <w:spacing w:after="0"/>
              <w:rPr>
                <w:sz w:val="14"/>
                <w:szCs w:val="14"/>
                <w:color w:val="auto"/>
              </w:rPr>
            </w:pPr>
          </w:p>
        </w:tc>
        <w:tc>
          <w:tcPr>
            <w:tcW w:w="4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77"/>
              </w:rPr>
              <w:t>18</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40</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288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Exercised</w:t>
            </w: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(30)</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w:t>
            </w: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w:t>
            </w:r>
          </w:p>
        </w:tc>
        <w:tc>
          <w:tcPr>
            <w:tcW w:w="320" w:type="dxa"/>
            <w:vAlign w:val="bottom"/>
          </w:tcPr>
          <w:p>
            <w:pPr>
              <w:spacing w:after="0"/>
              <w:rPr>
                <w:sz w:val="14"/>
                <w:szCs w:val="14"/>
                <w:color w:val="auto"/>
              </w:rPr>
            </w:pPr>
          </w:p>
        </w:tc>
        <w:tc>
          <w:tcPr>
            <w:tcW w:w="4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9</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80" w:type="dxa"/>
            <w:vAlign w:val="bottom"/>
          </w:tcPr>
          <w:p>
            <w:pPr>
              <w:spacing w:after="0"/>
              <w:rPr>
                <w:sz w:val="14"/>
                <w:szCs w:val="14"/>
                <w:color w:val="auto"/>
              </w:rPr>
            </w:pP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8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14"/>
                <w:szCs w:val="14"/>
                <w:color w:val="auto"/>
              </w:rPr>
            </w:pPr>
          </w:p>
        </w:tc>
      </w:tr>
      <w:tr>
        <w:trPr>
          <w:trHeight w:val="168"/>
        </w:trPr>
        <w:tc>
          <w:tcPr>
            <w:tcW w:w="2880" w:type="dxa"/>
            <w:vAlign w:val="bottom"/>
          </w:tcPr>
          <w:p>
            <w:pPr>
              <w:spacing w:after="0" w:line="168" w:lineRule="exact"/>
              <w:rPr>
                <w:sz w:val="20"/>
                <w:szCs w:val="20"/>
                <w:color w:val="auto"/>
              </w:rPr>
            </w:pPr>
            <w:r>
              <w:rPr>
                <w:rFonts w:ascii="Courier New" w:cs="Courier New" w:eastAsia="Courier New" w:hAnsi="Courier New"/>
                <w:sz w:val="15"/>
                <w:szCs w:val="15"/>
                <w:color w:val="auto"/>
              </w:rPr>
              <w:t>Outstanding at End of Year</w:t>
            </w: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274</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w:t>
            </w:r>
          </w:p>
        </w:tc>
        <w:tc>
          <w:tcPr>
            <w:tcW w:w="8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284</w:t>
            </w:r>
          </w:p>
        </w:tc>
        <w:tc>
          <w:tcPr>
            <w:tcW w:w="320" w:type="dxa"/>
            <w:vAlign w:val="bottom"/>
          </w:tcPr>
          <w:p>
            <w:pPr>
              <w:spacing w:after="0"/>
              <w:rPr>
                <w:sz w:val="14"/>
                <w:szCs w:val="14"/>
                <w:color w:val="auto"/>
              </w:rPr>
            </w:pPr>
          </w:p>
        </w:tc>
        <w:tc>
          <w:tcPr>
            <w:tcW w:w="4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8</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264</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w:t>
            </w:r>
          </w:p>
        </w:tc>
      </w:tr>
      <w:tr>
        <w:trPr>
          <w:trHeight w:val="168"/>
        </w:trPr>
        <w:tc>
          <w:tcPr>
            <w:tcW w:w="2880" w:type="dxa"/>
            <w:vAlign w:val="bottom"/>
          </w:tcPr>
          <w:p>
            <w:pPr>
              <w:spacing w:after="0"/>
              <w:rPr>
                <w:sz w:val="14"/>
                <w:szCs w:val="14"/>
                <w:color w:val="auto"/>
              </w:rPr>
            </w:pP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8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14"/>
                <w:szCs w:val="14"/>
                <w:color w:val="auto"/>
              </w:rPr>
            </w:pPr>
          </w:p>
        </w:tc>
      </w:tr>
      <w:tr>
        <w:trPr>
          <w:trHeight w:val="168"/>
        </w:trPr>
        <w:tc>
          <w:tcPr>
            <w:tcW w:w="288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Exercisable at End of Year</w:t>
            </w: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274</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w:t>
            </w:r>
          </w:p>
        </w:tc>
        <w:tc>
          <w:tcPr>
            <w:tcW w:w="8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284</w:t>
            </w:r>
          </w:p>
        </w:tc>
        <w:tc>
          <w:tcPr>
            <w:tcW w:w="320" w:type="dxa"/>
            <w:vAlign w:val="bottom"/>
          </w:tcPr>
          <w:p>
            <w:pPr>
              <w:spacing w:after="0"/>
              <w:rPr>
                <w:sz w:val="14"/>
                <w:szCs w:val="14"/>
                <w:color w:val="auto"/>
              </w:rPr>
            </w:pPr>
          </w:p>
        </w:tc>
        <w:tc>
          <w:tcPr>
            <w:tcW w:w="4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8</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264</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w:t>
            </w:r>
          </w:p>
        </w:tc>
      </w:tr>
      <w:tr>
        <w:trPr>
          <w:trHeight w:val="168"/>
        </w:trPr>
        <w:tc>
          <w:tcPr>
            <w:tcW w:w="288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Avg. Fair Value</w:t>
            </w: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28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of Options Granted</w:t>
            </w:r>
          </w:p>
        </w:tc>
        <w:tc>
          <w:tcPr>
            <w:tcW w:w="98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w:t>
            </w:r>
          </w:p>
        </w:tc>
        <w:tc>
          <w:tcPr>
            <w:tcW w:w="860" w:type="dxa"/>
            <w:vAlign w:val="bottom"/>
          </w:tcPr>
          <w:p>
            <w:pPr>
              <w:spacing w:after="0"/>
              <w:rPr>
                <w:sz w:val="14"/>
                <w:szCs w:val="14"/>
                <w:color w:val="auto"/>
              </w:rPr>
            </w:pP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77"/>
              </w:rPr>
              <w:t>13</w:t>
            </w:r>
          </w:p>
        </w:tc>
        <w:tc>
          <w:tcPr>
            <w:tcW w:w="96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$ 7</w:t>
            </w: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10" w:right="3579" w:hanging="339"/>
        <w:spacing w:after="0" w:line="235" w:lineRule="auto"/>
        <w:tabs>
          <w:tab w:leader="none" w:pos="590" w:val="left"/>
        </w:tabs>
        <w:rPr>
          <w:sz w:val="20"/>
          <w:szCs w:val="20"/>
          <w:color w:val="auto"/>
        </w:rPr>
      </w:pPr>
      <w:r>
        <w:rPr>
          <w:rFonts w:ascii="Courier New" w:cs="Courier New" w:eastAsia="Courier New" w:hAnsi="Courier New"/>
          <w:sz w:val="15"/>
          <w:szCs w:val="15"/>
          <w:color w:val="auto"/>
        </w:rPr>
        <w:t>The</w:t>
        <w:tab/>
        <w:t>274 options outstanding at December 31, 1997, have exercise prices between $1 and $19 with a weighted average exercise price of $9 and a weighted average remaining contractual life of 5 years. All of these options are exercisable.</w:t>
      </w:r>
    </w:p>
    <w:p>
      <w:pPr>
        <w:spacing w:after="0" w:line="175" w:lineRule="exact"/>
        <w:rPr>
          <w:sz w:val="20"/>
          <w:szCs w:val="20"/>
          <w:color w:val="auto"/>
        </w:rPr>
      </w:pPr>
    </w:p>
    <w:p>
      <w:pPr>
        <w:ind w:left="610" w:right="3399" w:hanging="339"/>
        <w:spacing w:after="0" w:line="236" w:lineRule="auto"/>
        <w:tabs>
          <w:tab w:leader="none" w:pos="590" w:val="left"/>
        </w:tabs>
        <w:rPr>
          <w:sz w:val="20"/>
          <w:szCs w:val="20"/>
          <w:color w:val="auto"/>
        </w:rPr>
      </w:pPr>
      <w:r>
        <w:rPr>
          <w:rFonts w:ascii="Courier New" w:cs="Courier New" w:eastAsia="Courier New" w:hAnsi="Courier New"/>
          <w:sz w:val="15"/>
          <w:szCs w:val="15"/>
          <w:color w:val="auto"/>
        </w:rPr>
        <w:t>The</w:t>
        <w:tab/>
        <w:t>fair value of each option grant is estimated on the date of grant using the Black-Scholes option pricing model with the following weighted-average assumptions used for grants in 1997, 1996 and 1995, respectively: risk-free interest rates of 6.7, 6.8 and 6.7 percent; expected dividend yields of 0.0, 0.0 and 0.0 percent; expected lives of 5, 10 and 10 years; expected volatility of 118, 47 and 54 percent.</w:t>
      </w:r>
    </w:p>
    <w:p>
      <w:pPr>
        <w:spacing w:after="0" w:line="175" w:lineRule="exact"/>
        <w:rPr>
          <w:sz w:val="20"/>
          <w:szCs w:val="20"/>
          <w:color w:val="auto"/>
        </w:rPr>
      </w:pPr>
    </w:p>
    <w:p>
      <w:pPr>
        <w:ind w:left="610" w:right="3399" w:hanging="339"/>
        <w:spacing w:after="0" w:line="237" w:lineRule="auto"/>
        <w:tabs>
          <w:tab w:leader="none" w:pos="590" w:val="left"/>
        </w:tabs>
        <w:rPr>
          <w:sz w:val="20"/>
          <w:szCs w:val="20"/>
          <w:color w:val="auto"/>
        </w:rPr>
      </w:pPr>
      <w:r>
        <w:rPr>
          <w:rFonts w:ascii="Courier New" w:cs="Courier New" w:eastAsia="Courier New" w:hAnsi="Courier New"/>
          <w:sz w:val="15"/>
          <w:szCs w:val="15"/>
          <w:color w:val="auto"/>
        </w:rPr>
        <w:t>The</w:t>
        <w:tab/>
        <w:t>Company has a restricted stock plan covering 800,000 shares of common stock, the purpose of which is to permit grants of shares, subject to restrictions, to key employees of the Company as a means of retaining and rewarding them for long-term performance and to increase their ownership in the Company. Shares awarded under the plans entitle the shareholder to all rights of common stock ownership except that the shares may not be sold, transferred, pledged, exchanged or otherwise disposed of during the restriction period. The restriction period is determined by a committee, appointed by the Board of Directors, but may not exceed ten years. During 1997, 1996 and 1995, 37,500, 35,000 and 101,600 shares, respectively, were granted with restriction periods of four to six years at market prices ranging from $20.125 to $25.875 in 1997, $20.125 to $21.875 in 1996, and $9.75 to $11.94 in 1995. The related expense is reflected as deferred compensation in the accompanying consolidated financial statements and is being amortized over the applicable restriction periods.</w:t>
      </w:r>
    </w:p>
    <w:p>
      <w:pPr>
        <w:spacing w:after="0" w:line="168" w:lineRule="exact"/>
        <w:rPr>
          <w:sz w:val="20"/>
          <w:szCs w:val="20"/>
          <w:color w:val="auto"/>
        </w:rPr>
      </w:pPr>
    </w:p>
    <w:p>
      <w:pPr>
        <w:ind w:left="430" w:hanging="430"/>
        <w:spacing w:after="0"/>
        <w:tabs>
          <w:tab w:leader="none" w:pos="43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SPLIT</w:t>
      </w:r>
    </w:p>
    <w:p>
      <w:pPr>
        <w:spacing w:after="0" w:line="172" w:lineRule="exact"/>
        <w:rPr>
          <w:rFonts w:ascii="Courier New" w:cs="Courier New" w:eastAsia="Courier New" w:hAnsi="Courier New"/>
          <w:sz w:val="15"/>
          <w:szCs w:val="15"/>
          <w:color w:val="auto"/>
        </w:rPr>
      </w:pPr>
    </w:p>
    <w:p>
      <w:pPr>
        <w:ind w:left="610" w:right="3319" w:hanging="175"/>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On May 9, 1996, the Company's Board of Directors declared a two-for-one stock split effected in the form of a 100% common stock dividend to shareholders of record on May 31, 1996. The stock split increased the number of shares of common stock then outstanding from 17,219,669 to 34,439,338. Earnings per share and all share data have been restated in all prior periods to reflect this stock split.</w:t>
      </w:r>
    </w:p>
    <w:p>
      <w:pPr>
        <w:spacing w:after="0" w:line="168" w:lineRule="exact"/>
        <w:rPr>
          <w:rFonts w:ascii="Courier New" w:cs="Courier New" w:eastAsia="Courier New" w:hAnsi="Courier New"/>
          <w:sz w:val="15"/>
          <w:szCs w:val="15"/>
          <w:color w:val="auto"/>
        </w:rPr>
      </w:pPr>
    </w:p>
    <w:p>
      <w:pPr>
        <w:ind w:left="430" w:hanging="430"/>
        <w:spacing w:after="0"/>
        <w:tabs>
          <w:tab w:leader="none" w:pos="43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CONTINGENCIES</w:t>
      </w:r>
    </w:p>
    <w:p>
      <w:pPr>
        <w:spacing w:after="0" w:line="172" w:lineRule="exact"/>
        <w:rPr>
          <w:rFonts w:ascii="Courier New" w:cs="Courier New" w:eastAsia="Courier New" w:hAnsi="Courier New"/>
          <w:sz w:val="15"/>
          <w:szCs w:val="15"/>
          <w:color w:val="auto"/>
        </w:rPr>
      </w:pPr>
    </w:p>
    <w:p>
      <w:pPr>
        <w:ind w:left="610" w:right="3939" w:hanging="175"/>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been involved in patent litigation with Donnelly Corporation since 1990 concerning a number of patents relating to electrochromic mirrors owned by the Company and Donnelly.</w:t>
      </w:r>
    </w:p>
    <w:p>
      <w:pPr>
        <w:spacing w:after="0" w:line="173" w:lineRule="exact"/>
        <w:rPr>
          <w:rFonts w:ascii="Courier New" w:cs="Courier New" w:eastAsia="Courier New" w:hAnsi="Courier New"/>
          <w:sz w:val="15"/>
          <w:szCs w:val="15"/>
          <w:color w:val="auto"/>
        </w:rPr>
      </w:pPr>
    </w:p>
    <w:p>
      <w:pPr>
        <w:ind w:left="610" w:right="3239" w:hanging="175"/>
        <w:spacing w:after="0" w:line="26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During 1996, the Company reached an agreement with Donnelly to resolve all of the patent litigation between the two companies. Under the agreement:</w:t>
      </w:r>
    </w:p>
    <w:p>
      <w:pPr>
        <w:spacing w:after="0" w:line="321" w:lineRule="exact"/>
        <w:rPr>
          <w:sz w:val="20"/>
          <w:szCs w:val="20"/>
          <w:color w:val="auto"/>
        </w:rPr>
      </w:pPr>
    </w:p>
    <w:p>
      <w:pPr>
        <w:ind w:left="333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29"/>
          </w:cols>
          <w:pgMar w:left="230" w:top="281" w:right="1440" w:bottom="517" w:gutter="0" w:footer="0" w:header="0"/>
          <w:type w:val="continuous"/>
        </w:sectPr>
      </w:pPr>
    </w:p>
    <w:bookmarkStart w:id="32" w:name="page33"/>
    <w:bookmarkEnd w:id="32"/>
    <w:p>
      <w:pPr>
        <w:ind w:left="270"/>
        <w:spacing w:after="0"/>
        <w:rPr>
          <w:sz w:val="20"/>
          <w:szCs w:val="20"/>
          <w:color w:val="auto"/>
        </w:rPr>
      </w:pPr>
      <w:r>
        <w:rPr>
          <w:rFonts w:ascii="Courier New" w:cs="Courier New" w:eastAsia="Courier New" w:hAnsi="Courier New"/>
          <w:sz w:val="15"/>
          <w:szCs w:val="15"/>
          <w:color w:val="auto"/>
        </w:rPr>
        <w:t>29</w:t>
      </w:r>
    </w:p>
    <w:p>
      <w:pPr>
        <w:spacing w:after="0" w:line="335" w:lineRule="exact"/>
        <w:rPr>
          <w:sz w:val="20"/>
          <w:szCs w:val="20"/>
          <w:color w:val="auto"/>
        </w:rPr>
      </w:pPr>
    </w:p>
    <w:p>
      <w:pPr>
        <w:ind w:left="1930"/>
        <w:spacing w:after="0"/>
        <w:rPr>
          <w:sz w:val="20"/>
          <w:szCs w:val="20"/>
          <w:color w:val="auto"/>
        </w:rPr>
      </w:pPr>
      <w:r>
        <w:rPr>
          <w:rFonts w:ascii="Courier New" w:cs="Courier New" w:eastAsia="Courier New" w:hAnsi="Courier New"/>
          <w:sz w:val="15"/>
          <w:szCs w:val="15"/>
          <w:color w:val="auto"/>
        </w:rPr>
        <w:t>GENTEX CORPORATION AND SUBSIDIARIES</w:t>
      </w:r>
    </w:p>
    <w:p>
      <w:pPr>
        <w:spacing w:after="0" w:line="166" w:lineRule="exact"/>
        <w:rPr>
          <w:sz w:val="20"/>
          <w:szCs w:val="20"/>
          <w:color w:val="auto"/>
        </w:rPr>
      </w:pPr>
    </w:p>
    <w:p>
      <w:pPr>
        <w:jc w:val="center"/>
        <w:ind w:right="322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6" w:lineRule="exact"/>
        <w:rPr>
          <w:sz w:val="20"/>
          <w:szCs w:val="20"/>
          <w:color w:val="auto"/>
        </w:rPr>
      </w:pPr>
    </w:p>
    <w:p>
      <w:pPr>
        <w:ind w:left="2970"/>
        <w:spacing w:after="0"/>
        <w:rPr>
          <w:sz w:val="20"/>
          <w:szCs w:val="20"/>
          <w:color w:val="auto"/>
        </w:rPr>
      </w:pPr>
      <w:r>
        <w:rPr>
          <w:rFonts w:ascii="Courier New" w:cs="Courier New" w:eastAsia="Courier New" w:hAnsi="Courier New"/>
          <w:sz w:val="15"/>
          <w:szCs w:val="15"/>
          <w:color w:val="auto"/>
        </w:rPr>
        <w:t>(Continued)</w:t>
      </w:r>
    </w:p>
    <w:p>
      <w:pPr>
        <w:spacing w:after="0" w:line="166" w:lineRule="exact"/>
        <w:rPr>
          <w:sz w:val="20"/>
          <w:szCs w:val="20"/>
          <w:color w:val="auto"/>
        </w:rPr>
      </w:pPr>
    </w:p>
    <w:p>
      <w:pPr>
        <w:ind w:left="430" w:hanging="430"/>
        <w:spacing w:after="0"/>
        <w:tabs>
          <w:tab w:leader="none" w:pos="43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CONTINGENCIES, continued</w:t>
      </w:r>
    </w:p>
    <w:p>
      <w:pPr>
        <w:spacing w:after="0" w:line="172" w:lineRule="exact"/>
        <w:rPr>
          <w:rFonts w:ascii="Courier New" w:cs="Courier New" w:eastAsia="Courier New" w:hAnsi="Courier New"/>
          <w:sz w:val="15"/>
          <w:szCs w:val="15"/>
          <w:color w:val="auto"/>
        </w:rPr>
      </w:pPr>
    </w:p>
    <w:p>
      <w:pPr>
        <w:ind w:left="610" w:right="3839" w:hanging="173"/>
        <w:spacing w:after="0" w:line="235" w:lineRule="auto"/>
        <w:tabs>
          <w:tab w:leader="none" w:pos="610" w:val="left"/>
        </w:tabs>
        <w:numPr>
          <w:ilvl w:val="1"/>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companies have cross-licensed certain patents (for the life of the patents) that each company may practice within its own "core" electrochromic mirror technology area.</w:t>
      </w:r>
    </w:p>
    <w:p>
      <w:pPr>
        <w:spacing w:after="0" w:line="173" w:lineRule="exact"/>
        <w:rPr>
          <w:rFonts w:ascii="Courier New" w:cs="Courier New" w:eastAsia="Courier New" w:hAnsi="Courier New"/>
          <w:sz w:val="15"/>
          <w:szCs w:val="15"/>
          <w:color w:val="auto"/>
        </w:rPr>
      </w:pPr>
    </w:p>
    <w:p>
      <w:pPr>
        <w:ind w:left="610" w:right="3579" w:hanging="173"/>
        <w:spacing w:after="0" w:line="235" w:lineRule="auto"/>
        <w:tabs>
          <w:tab w:leader="none" w:pos="610" w:val="left"/>
        </w:tabs>
        <w:numPr>
          <w:ilvl w:val="1"/>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paid Donnelly $6 million in April 1996 (plus a $200,000 contingent payment if Donnelly prevails in its lighted mirror patent appeal) as full and complete satisfaction of all of Donnelly's patent infringement claims.</w:t>
      </w:r>
    </w:p>
    <w:p>
      <w:pPr>
        <w:spacing w:after="0" w:line="175" w:lineRule="exact"/>
        <w:rPr>
          <w:rFonts w:ascii="Courier New" w:cs="Courier New" w:eastAsia="Courier New" w:hAnsi="Courier New"/>
          <w:sz w:val="15"/>
          <w:szCs w:val="15"/>
          <w:color w:val="auto"/>
        </w:rPr>
      </w:pPr>
    </w:p>
    <w:p>
      <w:pPr>
        <w:ind w:left="610" w:right="3759" w:hanging="173"/>
        <w:spacing w:after="0" w:line="234" w:lineRule="auto"/>
        <w:tabs>
          <w:tab w:leader="none" w:pos="610" w:val="left"/>
        </w:tabs>
        <w:numPr>
          <w:ilvl w:val="1"/>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companies agreed not to pursue litigation against each other on certain other patents for a period of four years.</w:t>
      </w:r>
    </w:p>
    <w:p>
      <w:pPr>
        <w:spacing w:after="0" w:line="173" w:lineRule="exact"/>
        <w:rPr>
          <w:sz w:val="20"/>
          <w:szCs w:val="20"/>
          <w:color w:val="auto"/>
        </w:rPr>
      </w:pPr>
    </w:p>
    <w:p>
      <w:pPr>
        <w:ind w:left="610" w:right="3399" w:hanging="174"/>
        <w:spacing w:after="0" w:line="234" w:lineRule="auto"/>
        <w:rPr>
          <w:sz w:val="20"/>
          <w:szCs w:val="20"/>
          <w:color w:val="auto"/>
        </w:rPr>
      </w:pPr>
      <w:r>
        <w:rPr>
          <w:rFonts w:ascii="Courier New" w:cs="Courier New" w:eastAsia="Courier New" w:hAnsi="Courier New"/>
          <w:sz w:val="15"/>
          <w:szCs w:val="15"/>
          <w:color w:val="auto"/>
        </w:rPr>
        <w:t>The Company recorded a one-time charge of $4,000,000 ($6,000,000 payment, net of accrued reserves) in connection with this settlement.</w:t>
      </w:r>
    </w:p>
    <w:p>
      <w:pPr>
        <w:spacing w:after="0" w:line="173" w:lineRule="exact"/>
        <w:rPr>
          <w:sz w:val="20"/>
          <w:szCs w:val="20"/>
          <w:color w:val="auto"/>
        </w:rPr>
      </w:pPr>
    </w:p>
    <w:p>
      <w:pPr>
        <w:ind w:left="610" w:right="3679" w:hanging="174"/>
        <w:spacing w:after="0" w:line="235" w:lineRule="auto"/>
        <w:rPr>
          <w:sz w:val="20"/>
          <w:szCs w:val="20"/>
          <w:color w:val="auto"/>
        </w:rPr>
      </w:pPr>
      <w:r>
        <w:rPr>
          <w:rFonts w:ascii="Courier New" w:cs="Courier New" w:eastAsia="Courier New" w:hAnsi="Courier New"/>
          <w:sz w:val="15"/>
          <w:szCs w:val="15"/>
          <w:color w:val="auto"/>
        </w:rPr>
        <w:t>To date, the $200,000 contingent payment related to Donnelly's lighted mirror patent appeal is still contingent. On January 9, 1998, oral arguments were presented to the Court of Appeals for the Federal Circuit.</w:t>
      </w:r>
    </w:p>
    <w:p>
      <w:pPr>
        <w:spacing w:after="0" w:line="175" w:lineRule="exact"/>
        <w:rPr>
          <w:sz w:val="20"/>
          <w:szCs w:val="20"/>
          <w:color w:val="auto"/>
        </w:rPr>
      </w:pPr>
    </w:p>
    <w:p>
      <w:pPr>
        <w:ind w:left="610" w:right="3319" w:hanging="174"/>
        <w:spacing w:after="0" w:line="236" w:lineRule="auto"/>
        <w:rPr>
          <w:sz w:val="20"/>
          <w:szCs w:val="20"/>
          <w:color w:val="auto"/>
        </w:rPr>
      </w:pPr>
      <w:r>
        <w:rPr>
          <w:rFonts w:ascii="Courier New" w:cs="Courier New" w:eastAsia="Courier New" w:hAnsi="Courier New"/>
          <w:sz w:val="15"/>
          <w:szCs w:val="15"/>
          <w:color w:val="auto"/>
        </w:rPr>
        <w:t>The Company is subject to legal proceedings and claims which arise in the ordinary course of its business. In the opinion of management, the amount of ultimate liability with respect to these actions will not materially affect the financial position or results of operations of the Company.</w:t>
      </w:r>
    </w:p>
    <w:p>
      <w:pPr>
        <w:spacing w:after="0" w:line="167" w:lineRule="exact"/>
        <w:rPr>
          <w:sz w:val="20"/>
          <w:szCs w:val="20"/>
          <w:color w:val="auto"/>
        </w:rPr>
      </w:pPr>
    </w:p>
    <w:p>
      <w:pPr>
        <w:ind w:left="430" w:hanging="430"/>
        <w:spacing w:after="0"/>
        <w:tabs>
          <w:tab w:leader="none" w:pos="43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SEGMENT REPORTING</w:t>
      </w:r>
    </w:p>
    <w:p>
      <w:pPr>
        <w:spacing w:after="0" w:line="172" w:lineRule="exact"/>
        <w:rPr>
          <w:rFonts w:ascii="Courier New" w:cs="Courier New" w:eastAsia="Courier New" w:hAnsi="Courier New"/>
          <w:sz w:val="15"/>
          <w:szCs w:val="15"/>
          <w:color w:val="auto"/>
        </w:rPr>
      </w:pPr>
    </w:p>
    <w:p>
      <w:pPr>
        <w:ind w:left="610" w:right="3319" w:hanging="175"/>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operates in two reportable business segments: automatic rearview mirrors for the automotive industry and fire protection products for the commercial building industry. Corporate assets are principally cash, investments, deferred income taxes, and corporate fixed assets. Information by business segment and geographic area is as follows: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430" w:type="dxa"/>
        <w:tblCellMar>
          <w:top w:w="0" w:type="dxa"/>
          <w:left w:w="0" w:type="dxa"/>
          <w:bottom w:w="0" w:type="dxa"/>
          <w:right w:w="0" w:type="dxa"/>
        </w:tblCellMar>
      </w:tblPr>
      <w:tr>
        <w:trPr>
          <w:trHeight w:val="170"/>
        </w:trPr>
        <w:tc>
          <w:tcPr>
            <w:tcW w:w="2540" w:type="dxa"/>
            <w:vAlign w:val="bottom"/>
          </w:tcPr>
          <w:p>
            <w:pPr>
              <w:spacing w:after="0"/>
              <w:rPr>
                <w:sz w:val="14"/>
                <w:szCs w:val="14"/>
                <w:color w:val="auto"/>
              </w:rPr>
            </w:pPr>
          </w:p>
        </w:tc>
        <w:tc>
          <w:tcPr>
            <w:tcW w:w="12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1997</w:t>
            </w:r>
          </w:p>
        </w:tc>
        <w:tc>
          <w:tcPr>
            <w:tcW w:w="12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1996</w:t>
            </w:r>
          </w:p>
        </w:tc>
        <w:tc>
          <w:tcPr>
            <w:tcW w:w="1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1995</w:t>
            </w:r>
          </w:p>
        </w:tc>
      </w:tr>
      <w:tr>
        <w:trPr>
          <w:trHeight w:val="168"/>
        </w:trPr>
        <w:tc>
          <w:tcPr>
            <w:tcW w:w="254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54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25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Automotive Products</w:t>
            </w:r>
          </w:p>
        </w:tc>
        <w:tc>
          <w:tcPr>
            <w:tcW w:w="1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25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U.S.</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$ 98,229,000</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$ 81,115,000</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$65,853,000</w:t>
            </w:r>
          </w:p>
        </w:tc>
      </w:tr>
      <w:tr>
        <w:trPr>
          <w:trHeight w:val="168"/>
        </w:trPr>
        <w:tc>
          <w:tcPr>
            <w:tcW w:w="25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Europe</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41,366,000</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25,434,000</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14,693,000</w:t>
            </w:r>
          </w:p>
        </w:tc>
      </w:tr>
      <w:tr>
        <w:trPr>
          <w:trHeight w:val="168"/>
        </w:trPr>
        <w:tc>
          <w:tcPr>
            <w:tcW w:w="25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Other</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26,538,000</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23,065,000</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13,751,000</w:t>
            </w:r>
          </w:p>
        </w:tc>
      </w:tr>
      <w:tr>
        <w:trPr>
          <w:trHeight w:val="168"/>
        </w:trPr>
        <w:tc>
          <w:tcPr>
            <w:tcW w:w="254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4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$166,133,000</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$129,614,000</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$94,297,000</w:t>
            </w:r>
          </w:p>
        </w:tc>
      </w:tr>
      <w:tr>
        <w:trPr>
          <w:trHeight w:val="336"/>
        </w:trPr>
        <w:tc>
          <w:tcPr>
            <w:tcW w:w="2540" w:type="dxa"/>
            <w:vAlign w:val="bottom"/>
          </w:tcPr>
          <w:p>
            <w:pPr>
              <w:ind w:left="360"/>
              <w:spacing w:after="0"/>
              <w:rPr>
                <w:sz w:val="20"/>
                <w:szCs w:val="20"/>
                <w:color w:val="auto"/>
              </w:rPr>
            </w:pPr>
            <w:r>
              <w:rPr>
                <w:rFonts w:ascii="Courier New" w:cs="Courier New" w:eastAsia="Courier New" w:hAnsi="Courier New"/>
                <w:sz w:val="15"/>
                <w:szCs w:val="15"/>
                <w:color w:val="auto"/>
                <w:w w:val="99"/>
              </w:rPr>
              <w:t>Fire Protection Products</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$ 20,195,000</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$ 19,094,000</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$17,269,000</w:t>
            </w:r>
          </w:p>
        </w:tc>
      </w:tr>
      <w:tr>
        <w:trPr>
          <w:trHeight w:val="336"/>
        </w:trPr>
        <w:tc>
          <w:tcPr>
            <w:tcW w:w="254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25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Automotive Products</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$ 43,490,000</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$ 31,998,000</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$21,600,000</w:t>
            </w:r>
          </w:p>
        </w:tc>
      </w:tr>
      <w:tr>
        <w:trPr>
          <w:trHeight w:val="168"/>
        </w:trPr>
        <w:tc>
          <w:tcPr>
            <w:tcW w:w="25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Fire Protection Products</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4,671,000</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3,961,000</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3,960,000</w:t>
            </w:r>
          </w:p>
        </w:tc>
      </w:tr>
      <w:tr>
        <w:trPr>
          <w:trHeight w:val="336"/>
        </w:trPr>
        <w:tc>
          <w:tcPr>
            <w:tcW w:w="2540" w:type="dxa"/>
            <w:vAlign w:val="bottom"/>
          </w:tcPr>
          <w:p>
            <w:pPr>
              <w:spacing w:after="0"/>
              <w:rPr>
                <w:sz w:val="20"/>
                <w:szCs w:val="20"/>
                <w:color w:val="auto"/>
              </w:rPr>
            </w:pPr>
            <w:r>
              <w:rPr>
                <w:rFonts w:ascii="Courier New" w:cs="Courier New" w:eastAsia="Courier New" w:hAnsi="Courier New"/>
                <w:sz w:val="15"/>
                <w:szCs w:val="15"/>
                <w:color w:val="auto"/>
              </w:rPr>
              <w:t>Identifiable Assets:</w:t>
            </w: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25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Automotive Products</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$ 71,636,000</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$ 52,702,000</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$37,268,000</w:t>
            </w:r>
          </w:p>
        </w:tc>
      </w:tr>
      <w:tr>
        <w:trPr>
          <w:trHeight w:val="168"/>
        </w:trPr>
        <w:tc>
          <w:tcPr>
            <w:tcW w:w="25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Fire Protection Products</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4,671,000</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3,961,000</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3,960,000</w:t>
            </w:r>
          </w:p>
        </w:tc>
      </w:tr>
      <w:tr>
        <w:trPr>
          <w:trHeight w:val="336"/>
        </w:trPr>
        <w:tc>
          <w:tcPr>
            <w:tcW w:w="2540" w:type="dxa"/>
            <w:vAlign w:val="bottom"/>
          </w:tcPr>
          <w:p>
            <w:pPr>
              <w:spacing w:after="0"/>
              <w:rPr>
                <w:sz w:val="20"/>
                <w:szCs w:val="20"/>
                <w:color w:val="auto"/>
              </w:rPr>
            </w:pPr>
            <w:r>
              <w:rPr>
                <w:rFonts w:ascii="Courier New" w:cs="Courier New" w:eastAsia="Courier New" w:hAnsi="Courier New"/>
                <w:sz w:val="15"/>
                <w:szCs w:val="15"/>
                <w:color w:val="auto"/>
                <w:w w:val="99"/>
              </w:rPr>
              <w:t>Depreciation &amp; Amortization:</w:t>
            </w: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25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Automotive Products</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5,867,000</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3,673,000</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$ 2,793,000</w:t>
            </w:r>
          </w:p>
        </w:tc>
      </w:tr>
      <w:tr>
        <w:trPr>
          <w:trHeight w:val="168"/>
        </w:trPr>
        <w:tc>
          <w:tcPr>
            <w:tcW w:w="25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Fire Protection Products</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297,000</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262,000</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247,000</w:t>
            </w:r>
          </w:p>
        </w:tc>
      </w:tr>
      <w:tr>
        <w:trPr>
          <w:trHeight w:val="336"/>
        </w:trPr>
        <w:tc>
          <w:tcPr>
            <w:tcW w:w="254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25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Automotive Products</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$ 13,974,000</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$ 13,354,000</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$ 4,721,000</w:t>
            </w:r>
          </w:p>
        </w:tc>
      </w:tr>
      <w:tr>
        <w:trPr>
          <w:trHeight w:val="168"/>
        </w:trPr>
        <w:tc>
          <w:tcPr>
            <w:tcW w:w="25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Fire Protection Products</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443,000</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309,000</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33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29"/>
          </w:cols>
          <w:pgMar w:left="230" w:top="281" w:right="1440" w:bottom="1440" w:gutter="0" w:footer="0" w:header="0"/>
        </w:sectPr>
      </w:pPr>
    </w:p>
    <w:bookmarkStart w:id="33" w:name="page34"/>
    <w:bookmarkEnd w:id="33"/>
    <w:p>
      <w:pPr>
        <w:ind w:left="280"/>
        <w:spacing w:after="0"/>
        <w:rPr>
          <w:sz w:val="20"/>
          <w:szCs w:val="20"/>
          <w:color w:val="auto"/>
        </w:rPr>
      </w:pPr>
      <w:r>
        <w:rPr>
          <w:rFonts w:ascii="Courier New" w:cs="Courier New" w:eastAsia="Courier New" w:hAnsi="Courier New"/>
          <w:sz w:val="15"/>
          <w:szCs w:val="15"/>
          <w:color w:val="auto"/>
        </w:rPr>
        <w:t>30</w:t>
      </w:r>
    </w:p>
    <w:p>
      <w:pPr>
        <w:spacing w:after="0" w:line="335"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GENTEX CORPORATION AND SUBSIDIARIES</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6"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(Continued)</w:t>
      </w:r>
    </w:p>
    <w:p>
      <w:pPr>
        <w:spacing w:after="0" w:line="166" w:lineRule="exact"/>
        <w:rPr>
          <w:sz w:val="20"/>
          <w:szCs w:val="20"/>
          <w:color w:val="auto"/>
        </w:rPr>
      </w:pPr>
    </w:p>
    <w:p>
      <w:pPr>
        <w:ind w:left="440" w:hanging="430"/>
        <w:spacing w:after="0"/>
        <w:tabs>
          <w:tab w:leader="none" w:pos="44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SEGMENT REPORTING, continued</w:t>
      </w:r>
    </w:p>
    <w:p>
      <w:pPr>
        <w:spacing w:after="0" w:line="172" w:lineRule="exact"/>
        <w:rPr>
          <w:rFonts w:ascii="Courier New" w:cs="Courier New" w:eastAsia="Courier New" w:hAnsi="Courier New"/>
          <w:sz w:val="15"/>
          <w:szCs w:val="15"/>
          <w:color w:val="auto"/>
        </w:rPr>
      </w:pPr>
    </w:p>
    <w:p>
      <w:pPr>
        <w:ind w:left="620" w:right="3319" w:hanging="175"/>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fiscal year 1998, the Company will be required to adopt Statement of Financial Accounting Standards No. 131: "Disclosures About Segments of an Enterprise and Related Information" (SFAS No. 131). This statement requires that a public enterprise report financial and descriptive information about its reportable operating segments subject to certain aggregation criteria and quantitative thresholds. Operating segments are defined by SFAS No. 131 as components of an enterprise about which separate financial information is available that is evaluated regularly by the chief operating decision-makers in deciding how to allocate resources and in assessing performance. In addition to the Company's current segment information, it is anticipated that upon adoption Gentex will be required to disclose revenues, if material, attributed to individual foreign countries.</w:t>
      </w:r>
    </w:p>
    <w:p>
      <w:pPr>
        <w:spacing w:after="0" w:line="173" w:lineRule="exact"/>
        <w:rPr>
          <w:rFonts w:ascii="Courier New" w:cs="Courier New" w:eastAsia="Courier New" w:hAnsi="Courier New"/>
          <w:sz w:val="15"/>
          <w:szCs w:val="15"/>
          <w:color w:val="auto"/>
        </w:rPr>
      </w:pPr>
    </w:p>
    <w:p>
      <w:pPr>
        <w:ind w:left="620" w:right="3239" w:hanging="175"/>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Automotive Products revenues in the "Other" category are primarily sales to U.S. automotive manufacturing plants in Canada and Mexico. All non-U.S. sales are invoiced and paid in U.S. dollars.</w:t>
      </w:r>
    </w:p>
    <w:p>
      <w:pPr>
        <w:spacing w:after="0" w:line="173" w:lineRule="exact"/>
        <w:rPr>
          <w:rFonts w:ascii="Courier New" w:cs="Courier New" w:eastAsia="Courier New" w:hAnsi="Courier New"/>
          <w:sz w:val="15"/>
          <w:szCs w:val="15"/>
          <w:color w:val="auto"/>
        </w:rPr>
      </w:pPr>
    </w:p>
    <w:p>
      <w:pPr>
        <w:ind w:left="620" w:right="3239" w:hanging="175"/>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years presented, the Company had four automotive customers which individually accounted for 10% or more of net sales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Customer</w:t>
      </w:r>
    </w:p>
    <w:p>
      <w:pPr>
        <w:ind w:left="194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tbl>
      <w:tblPr>
        <w:tblLayout w:type="fixed"/>
        <w:tblInd w:w="1400" w:type="dxa"/>
        <w:tblCellMar>
          <w:top w:w="0" w:type="dxa"/>
          <w:left w:w="0" w:type="dxa"/>
          <w:bottom w:w="0" w:type="dxa"/>
          <w:right w:w="0" w:type="dxa"/>
        </w:tblCellMar>
      </w:tblPr>
      <w:tr>
        <w:trPr>
          <w:trHeight w:val="170"/>
        </w:trPr>
        <w:tc>
          <w:tcPr>
            <w:tcW w:w="660" w:type="dxa"/>
            <w:vAlign w:val="bottom"/>
          </w:tcPr>
          <w:p>
            <w:pPr>
              <w:spacing w:after="0"/>
              <w:rPr>
                <w:sz w:val="14"/>
                <w:szCs w:val="14"/>
                <w:color w:val="auto"/>
              </w:rPr>
            </w:pP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w:t>
            </w:r>
          </w:p>
        </w:tc>
        <w:tc>
          <w:tcPr>
            <w:tcW w:w="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rPr>
              <w:t>#3</w:t>
            </w: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w:t>
            </w:r>
          </w:p>
        </w:tc>
      </w:tr>
      <w:tr>
        <w:trPr>
          <w:trHeight w:val="168"/>
        </w:trPr>
        <w:tc>
          <w:tcPr>
            <w:tcW w:w="660" w:type="dxa"/>
            <w:vAlign w:val="bottom"/>
          </w:tcPr>
          <w:p>
            <w:pPr>
              <w:spacing w:after="0"/>
              <w:rPr>
                <w:sz w:val="14"/>
                <w:szCs w:val="14"/>
                <w:color w:val="auto"/>
              </w:rPr>
            </w:pPr>
          </w:p>
        </w:tc>
        <w:tc>
          <w:tcPr>
            <w:tcW w:w="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6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4"/>
              </w:rPr>
              <w:t>1997</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43%</w:t>
            </w:r>
          </w:p>
        </w:tc>
        <w:tc>
          <w:tcPr>
            <w:tcW w:w="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w:t>
            </w:r>
          </w:p>
        </w:tc>
        <w:tc>
          <w:tcPr>
            <w:tcW w:w="4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8"/>
        </w:trPr>
        <w:tc>
          <w:tcPr>
            <w:tcW w:w="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1996</w:t>
            </w:r>
          </w:p>
        </w:tc>
        <w:tc>
          <w:tcPr>
            <w:tcW w:w="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43%</w:t>
            </w:r>
          </w:p>
        </w:tc>
        <w:tc>
          <w:tcPr>
            <w:tcW w:w="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15%</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1995</w:t>
            </w:r>
          </w:p>
        </w:tc>
        <w:tc>
          <w:tcPr>
            <w:tcW w:w="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38%</w:t>
            </w:r>
          </w:p>
        </w:tc>
        <w:tc>
          <w:tcPr>
            <w:tcW w:w="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14%</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w:t>
            </w:r>
          </w:p>
        </w:tc>
      </w:tr>
      <w:tr>
        <w:trPr>
          <w:trHeight w:val="336"/>
        </w:trPr>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*Less</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than</w:t>
            </w:r>
          </w:p>
        </w:tc>
        <w:tc>
          <w:tcPr>
            <w:tcW w:w="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w:t>
            </w: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39"/>
          </w:cols>
          <w:pgMar w:left="220" w:top="281" w:right="1440" w:bottom="1440" w:gutter="0" w:footer="0" w:header="0"/>
        </w:sectPr>
      </w:pPr>
    </w:p>
    <w:bookmarkStart w:id="34" w:name="page35"/>
    <w:bookmarkEnd w:id="34"/>
    <w:p>
      <w:pPr>
        <w:ind w:left="280"/>
        <w:spacing w:after="0"/>
        <w:rPr>
          <w:sz w:val="20"/>
          <w:szCs w:val="20"/>
          <w:color w:val="auto"/>
        </w:rPr>
      </w:pPr>
      <w:r>
        <w:rPr>
          <w:rFonts w:ascii="Courier New" w:cs="Courier New" w:eastAsia="Courier New" w:hAnsi="Courier New"/>
          <w:sz w:val="15"/>
          <w:szCs w:val="15"/>
          <w:color w:val="auto"/>
        </w:rPr>
        <w:t>31</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80" w:type="dxa"/>
            <w:vAlign w:val="bottom"/>
          </w:tcPr>
          <w:p>
            <w:pPr>
              <w:spacing w:after="0"/>
              <w:rPr>
                <w:sz w:val="20"/>
                <w:szCs w:val="20"/>
                <w:color w:val="auto"/>
              </w:rPr>
            </w:pPr>
            <w:r>
              <w:rPr>
                <w:rFonts w:ascii="Courier New" w:cs="Courier New" w:eastAsia="Courier New" w:hAnsi="Courier New"/>
                <w:sz w:val="15"/>
                <w:szCs w:val="15"/>
                <w:color w:val="auto"/>
              </w:rPr>
              <w:t>EXHIBIT NO.</w:t>
            </w:r>
          </w:p>
        </w:tc>
        <w:tc>
          <w:tcPr>
            <w:tcW w:w="5720" w:type="dxa"/>
            <w:vAlign w:val="bottom"/>
          </w:tcPr>
          <w:p>
            <w:pPr>
              <w:ind w:left="820"/>
              <w:spacing w:after="0"/>
              <w:rPr>
                <w:sz w:val="20"/>
                <w:szCs w:val="20"/>
                <w:color w:val="auto"/>
              </w:rPr>
            </w:pPr>
            <w:r>
              <w:rPr>
                <w:rFonts w:ascii="Courier New" w:cs="Courier New" w:eastAsia="Courier New" w:hAnsi="Courier New"/>
                <w:sz w:val="15"/>
                <w:szCs w:val="15"/>
                <w:color w:val="auto"/>
              </w:rPr>
              <w:t>DESCRIPTION</w:t>
            </w:r>
          </w:p>
        </w:tc>
        <w:tc>
          <w:tcPr>
            <w:tcW w:w="70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4"/>
              </w:rPr>
              <w:t>PAGE</w:t>
            </w: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5720" w:type="dxa"/>
            <w:vAlign w:val="bottom"/>
          </w:tcPr>
          <w:p>
            <w:pPr>
              <w:ind w:left="100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280" w:type="dxa"/>
            <w:vAlign w:val="bottom"/>
          </w:tcPr>
          <w:p>
            <w:pPr>
              <w:spacing w:after="0"/>
              <w:rPr>
                <w:sz w:val="20"/>
                <w:szCs w:val="20"/>
                <w:color w:val="auto"/>
              </w:rPr>
            </w:pPr>
            <w:r>
              <w:rPr>
                <w:rFonts w:ascii="Courier New" w:cs="Courier New" w:eastAsia="Courier New" w:hAnsi="Courier New"/>
                <w:sz w:val="15"/>
                <w:szCs w:val="15"/>
                <w:color w:val="auto"/>
              </w:rPr>
              <w:t>3(a)(1)</w:t>
            </w:r>
          </w:p>
        </w:tc>
        <w:tc>
          <w:tcPr>
            <w:tcW w:w="5720" w:type="dxa"/>
            <w:vAlign w:val="bottom"/>
          </w:tcPr>
          <w:p>
            <w:pPr>
              <w:ind w:left="120"/>
              <w:spacing w:after="0"/>
              <w:rPr>
                <w:sz w:val="20"/>
                <w:szCs w:val="20"/>
                <w:color w:val="auto"/>
              </w:rPr>
            </w:pPr>
            <w:r>
              <w:rPr>
                <w:rFonts w:ascii="Courier New" w:cs="Courier New" w:eastAsia="Courier New" w:hAnsi="Courier New"/>
                <w:sz w:val="15"/>
                <w:szCs w:val="15"/>
                <w:color w:val="auto"/>
              </w:rPr>
              <w:t>Registrant's Articles of Incorporation were filed in 1981 as</w:t>
            </w:r>
          </w:p>
        </w:tc>
        <w:tc>
          <w:tcPr>
            <w:tcW w:w="700" w:type="dxa"/>
            <w:vAlign w:val="bottom"/>
          </w:tcPr>
          <w:p>
            <w:pPr>
              <w:spacing w:after="0"/>
              <w:rPr>
                <w:sz w:val="24"/>
                <w:szCs w:val="24"/>
                <w:color w:val="auto"/>
              </w:rPr>
            </w:pPr>
          </w:p>
        </w:tc>
      </w:tr>
      <w:tr>
        <w:trPr>
          <w:trHeight w:val="168"/>
        </w:trPr>
        <w:tc>
          <w:tcPr>
            <w:tcW w:w="1280" w:type="dxa"/>
            <w:vAlign w:val="bottom"/>
          </w:tcPr>
          <w:p>
            <w:pPr>
              <w:spacing w:after="0"/>
              <w:rPr>
                <w:sz w:val="14"/>
                <w:szCs w:val="14"/>
                <w:color w:val="auto"/>
              </w:rPr>
            </w:pPr>
          </w:p>
        </w:tc>
        <w:tc>
          <w:tcPr>
            <w:tcW w:w="57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Exhibit 2(a) to a Registration Statement on Form S-18</w:t>
            </w:r>
          </w:p>
        </w:tc>
        <w:tc>
          <w:tcPr>
            <w:tcW w:w="700" w:type="dxa"/>
            <w:vAlign w:val="bottom"/>
          </w:tcPr>
          <w:p>
            <w:pPr>
              <w:spacing w:after="0"/>
              <w:rPr>
                <w:sz w:val="14"/>
                <w:szCs w:val="14"/>
                <w:color w:val="auto"/>
              </w:rPr>
            </w:pPr>
          </w:p>
        </w:tc>
      </w:tr>
      <w:tr>
        <w:trPr>
          <w:trHeight w:val="168"/>
        </w:trPr>
        <w:tc>
          <w:tcPr>
            <w:tcW w:w="1280" w:type="dxa"/>
            <w:vAlign w:val="bottom"/>
          </w:tcPr>
          <w:p>
            <w:pPr>
              <w:spacing w:after="0"/>
              <w:rPr>
                <w:sz w:val="14"/>
                <w:szCs w:val="14"/>
                <w:color w:val="auto"/>
              </w:rPr>
            </w:pPr>
          </w:p>
        </w:tc>
        <w:tc>
          <w:tcPr>
            <w:tcW w:w="57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8"/>
              </w:rPr>
              <w:t>(Registration No. 2-74226C), an Amendment to those Articles was</w:t>
            </w:r>
          </w:p>
        </w:tc>
        <w:tc>
          <w:tcPr>
            <w:tcW w:w="700" w:type="dxa"/>
            <w:vAlign w:val="bottom"/>
          </w:tcPr>
          <w:p>
            <w:pPr>
              <w:spacing w:after="0"/>
              <w:rPr>
                <w:sz w:val="14"/>
                <w:szCs w:val="14"/>
                <w:color w:val="auto"/>
              </w:rPr>
            </w:pPr>
          </w:p>
        </w:tc>
      </w:tr>
      <w:tr>
        <w:trPr>
          <w:trHeight w:val="168"/>
        </w:trPr>
        <w:tc>
          <w:tcPr>
            <w:tcW w:w="1280" w:type="dxa"/>
            <w:vAlign w:val="bottom"/>
          </w:tcPr>
          <w:p>
            <w:pPr>
              <w:spacing w:after="0"/>
              <w:rPr>
                <w:sz w:val="14"/>
                <w:szCs w:val="14"/>
                <w:color w:val="auto"/>
              </w:rPr>
            </w:pPr>
          </w:p>
        </w:tc>
        <w:tc>
          <w:tcPr>
            <w:tcW w:w="57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6"/>
              </w:rPr>
              <w:t>filed as Exhibit 3 to Registrant's Report on Form 10-Q in August</w:t>
            </w:r>
          </w:p>
        </w:tc>
        <w:tc>
          <w:tcPr>
            <w:tcW w:w="700" w:type="dxa"/>
            <w:vAlign w:val="bottom"/>
          </w:tcPr>
          <w:p>
            <w:pPr>
              <w:spacing w:after="0"/>
              <w:rPr>
                <w:sz w:val="14"/>
                <w:szCs w:val="14"/>
                <w:color w:val="auto"/>
              </w:rPr>
            </w:pPr>
          </w:p>
        </w:tc>
      </w:tr>
      <w:tr>
        <w:trPr>
          <w:trHeight w:val="168"/>
        </w:trPr>
        <w:tc>
          <w:tcPr>
            <w:tcW w:w="1280" w:type="dxa"/>
            <w:vAlign w:val="bottom"/>
          </w:tcPr>
          <w:p>
            <w:pPr>
              <w:spacing w:after="0"/>
              <w:rPr>
                <w:sz w:val="14"/>
                <w:szCs w:val="14"/>
                <w:color w:val="auto"/>
              </w:rPr>
            </w:pPr>
          </w:p>
        </w:tc>
        <w:tc>
          <w:tcPr>
            <w:tcW w:w="57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8"/>
              </w:rPr>
              <w:t>of 1985, an additional Amendment to those Articles was filed as</w:t>
            </w:r>
          </w:p>
        </w:tc>
        <w:tc>
          <w:tcPr>
            <w:tcW w:w="700" w:type="dxa"/>
            <w:vAlign w:val="bottom"/>
          </w:tcPr>
          <w:p>
            <w:pPr>
              <w:spacing w:after="0"/>
              <w:rPr>
                <w:sz w:val="14"/>
                <w:szCs w:val="14"/>
                <w:color w:val="auto"/>
              </w:rPr>
            </w:pPr>
          </w:p>
        </w:tc>
      </w:tr>
      <w:tr>
        <w:trPr>
          <w:trHeight w:val="168"/>
        </w:trPr>
        <w:tc>
          <w:tcPr>
            <w:tcW w:w="1280" w:type="dxa"/>
            <w:vAlign w:val="bottom"/>
          </w:tcPr>
          <w:p>
            <w:pPr>
              <w:spacing w:after="0"/>
              <w:rPr>
                <w:sz w:val="14"/>
                <w:szCs w:val="14"/>
                <w:color w:val="auto"/>
              </w:rPr>
            </w:pPr>
          </w:p>
        </w:tc>
        <w:tc>
          <w:tcPr>
            <w:tcW w:w="57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6"/>
              </w:rPr>
              <w:t>Exhibit 3(a)(i) to Registrant's Report on Form 10-Q in August of</w:t>
            </w:r>
          </w:p>
        </w:tc>
        <w:tc>
          <w:tcPr>
            <w:tcW w:w="700" w:type="dxa"/>
            <w:vAlign w:val="bottom"/>
          </w:tcPr>
          <w:p>
            <w:pPr>
              <w:spacing w:after="0"/>
              <w:rPr>
                <w:sz w:val="14"/>
                <w:szCs w:val="14"/>
                <w:color w:val="auto"/>
              </w:rPr>
            </w:pPr>
          </w:p>
        </w:tc>
      </w:tr>
      <w:tr>
        <w:trPr>
          <w:trHeight w:val="168"/>
        </w:trPr>
        <w:tc>
          <w:tcPr>
            <w:tcW w:w="1280" w:type="dxa"/>
            <w:vAlign w:val="bottom"/>
          </w:tcPr>
          <w:p>
            <w:pPr>
              <w:spacing w:after="0"/>
              <w:rPr>
                <w:sz w:val="14"/>
                <w:szCs w:val="14"/>
                <w:color w:val="auto"/>
              </w:rPr>
            </w:pPr>
          </w:p>
        </w:tc>
        <w:tc>
          <w:tcPr>
            <w:tcW w:w="57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6"/>
              </w:rPr>
              <w:t>1987, and an additional Amendment to those Articles was filed as</w:t>
            </w:r>
          </w:p>
        </w:tc>
        <w:tc>
          <w:tcPr>
            <w:tcW w:w="700" w:type="dxa"/>
            <w:vAlign w:val="bottom"/>
          </w:tcPr>
          <w:p>
            <w:pPr>
              <w:spacing w:after="0"/>
              <w:rPr>
                <w:sz w:val="14"/>
                <w:szCs w:val="14"/>
                <w:color w:val="auto"/>
              </w:rPr>
            </w:pPr>
          </w:p>
        </w:tc>
      </w:tr>
      <w:tr>
        <w:trPr>
          <w:trHeight w:val="168"/>
        </w:trPr>
        <w:tc>
          <w:tcPr>
            <w:tcW w:w="1280" w:type="dxa"/>
            <w:vAlign w:val="bottom"/>
          </w:tcPr>
          <w:p>
            <w:pPr>
              <w:spacing w:after="0"/>
              <w:rPr>
                <w:sz w:val="14"/>
                <w:szCs w:val="14"/>
                <w:color w:val="auto"/>
              </w:rPr>
            </w:pPr>
          </w:p>
        </w:tc>
        <w:tc>
          <w:tcPr>
            <w:tcW w:w="57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Exhibit 3(a)(2) to Registrant's Report on Form 10-K dated</w:t>
            </w:r>
          </w:p>
        </w:tc>
        <w:tc>
          <w:tcPr>
            <w:tcW w:w="700" w:type="dxa"/>
            <w:vAlign w:val="bottom"/>
          </w:tcPr>
          <w:p>
            <w:pPr>
              <w:spacing w:after="0"/>
              <w:rPr>
                <w:sz w:val="14"/>
                <w:szCs w:val="14"/>
                <w:color w:val="auto"/>
              </w:rPr>
            </w:pPr>
          </w:p>
        </w:tc>
      </w:tr>
      <w:tr>
        <w:trPr>
          <w:trHeight w:val="168"/>
        </w:trPr>
        <w:tc>
          <w:tcPr>
            <w:tcW w:w="1280" w:type="dxa"/>
            <w:vAlign w:val="bottom"/>
          </w:tcPr>
          <w:p>
            <w:pPr>
              <w:spacing w:after="0"/>
              <w:rPr>
                <w:sz w:val="14"/>
                <w:szCs w:val="14"/>
                <w:color w:val="auto"/>
              </w:rPr>
            </w:pPr>
          </w:p>
        </w:tc>
        <w:tc>
          <w:tcPr>
            <w:tcW w:w="57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9"/>
              </w:rPr>
              <w:t>March 10, 1992, all of which are hereby incorporated herein by</w:t>
            </w:r>
          </w:p>
        </w:tc>
        <w:tc>
          <w:tcPr>
            <w:tcW w:w="700" w:type="dxa"/>
            <w:vAlign w:val="bottom"/>
          </w:tcPr>
          <w:p>
            <w:pPr>
              <w:spacing w:after="0"/>
              <w:rPr>
                <w:sz w:val="14"/>
                <w:szCs w:val="14"/>
                <w:color w:val="auto"/>
              </w:rPr>
            </w:pPr>
          </w:p>
        </w:tc>
      </w:tr>
      <w:tr>
        <w:trPr>
          <w:trHeight w:val="168"/>
        </w:trPr>
        <w:tc>
          <w:tcPr>
            <w:tcW w:w="1280" w:type="dxa"/>
            <w:vAlign w:val="bottom"/>
          </w:tcPr>
          <w:p>
            <w:pPr>
              <w:spacing w:after="0"/>
              <w:rPr>
                <w:sz w:val="14"/>
                <w:szCs w:val="14"/>
                <w:color w:val="auto"/>
              </w:rPr>
            </w:pPr>
          </w:p>
        </w:tc>
        <w:tc>
          <w:tcPr>
            <w:tcW w:w="57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reference.</w:t>
            </w:r>
          </w:p>
        </w:tc>
        <w:tc>
          <w:tcPr>
            <w:tcW w:w="700" w:type="dxa"/>
            <w:vAlign w:val="bottom"/>
          </w:tcPr>
          <w:p>
            <w:pPr>
              <w:spacing w:after="0"/>
              <w:rPr>
                <w:sz w:val="14"/>
                <w:szCs w:val="14"/>
                <w:color w:val="auto"/>
              </w:rPr>
            </w:pPr>
          </w:p>
        </w:tc>
      </w:tr>
      <w:tr>
        <w:trPr>
          <w:trHeight w:val="336"/>
        </w:trPr>
        <w:tc>
          <w:tcPr>
            <w:tcW w:w="1280" w:type="dxa"/>
            <w:vAlign w:val="bottom"/>
          </w:tcPr>
          <w:p>
            <w:pPr>
              <w:spacing w:after="0"/>
              <w:rPr>
                <w:sz w:val="20"/>
                <w:szCs w:val="20"/>
                <w:color w:val="auto"/>
              </w:rPr>
            </w:pPr>
            <w:r>
              <w:rPr>
                <w:rFonts w:ascii="Courier New" w:cs="Courier New" w:eastAsia="Courier New" w:hAnsi="Courier New"/>
                <w:sz w:val="15"/>
                <w:szCs w:val="15"/>
                <w:color w:val="auto"/>
              </w:rPr>
              <w:t>3(a)(2)</w:t>
            </w:r>
          </w:p>
        </w:tc>
        <w:tc>
          <w:tcPr>
            <w:tcW w:w="5720" w:type="dxa"/>
            <w:vAlign w:val="bottom"/>
          </w:tcPr>
          <w:p>
            <w:pPr>
              <w:ind w:left="120"/>
              <w:spacing w:after="0"/>
              <w:rPr>
                <w:sz w:val="20"/>
                <w:szCs w:val="20"/>
                <w:color w:val="auto"/>
              </w:rPr>
            </w:pPr>
            <w:r>
              <w:rPr>
                <w:rFonts w:ascii="Courier New" w:cs="Courier New" w:eastAsia="Courier New" w:hAnsi="Courier New"/>
                <w:sz w:val="15"/>
                <w:szCs w:val="15"/>
                <w:color w:val="auto"/>
                <w:w w:val="98"/>
              </w:rPr>
              <w:t>Amendment to Articles of Incorporation, adopted on May 9, 1996,</w:t>
            </w:r>
          </w:p>
        </w:tc>
        <w:tc>
          <w:tcPr>
            <w:tcW w:w="700" w:type="dxa"/>
            <w:vAlign w:val="bottom"/>
          </w:tcPr>
          <w:p>
            <w:pPr>
              <w:spacing w:after="0"/>
              <w:rPr>
                <w:sz w:val="24"/>
                <w:szCs w:val="24"/>
                <w:color w:val="auto"/>
              </w:rPr>
            </w:pPr>
          </w:p>
        </w:tc>
      </w:tr>
      <w:tr>
        <w:trPr>
          <w:trHeight w:val="168"/>
        </w:trPr>
        <w:tc>
          <w:tcPr>
            <w:tcW w:w="1280" w:type="dxa"/>
            <w:vAlign w:val="bottom"/>
          </w:tcPr>
          <w:p>
            <w:pPr>
              <w:spacing w:after="0"/>
              <w:rPr>
                <w:sz w:val="14"/>
                <w:szCs w:val="14"/>
                <w:color w:val="auto"/>
              </w:rPr>
            </w:pPr>
          </w:p>
        </w:tc>
        <w:tc>
          <w:tcPr>
            <w:tcW w:w="57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6"/>
              </w:rPr>
              <w:t>was filed as Exhibit 3(a)(2) to Registrant's Report on Form 10-Q</w:t>
            </w:r>
          </w:p>
        </w:tc>
        <w:tc>
          <w:tcPr>
            <w:tcW w:w="700" w:type="dxa"/>
            <w:vAlign w:val="bottom"/>
          </w:tcPr>
          <w:p>
            <w:pPr>
              <w:spacing w:after="0"/>
              <w:rPr>
                <w:sz w:val="14"/>
                <w:szCs w:val="14"/>
                <w:color w:val="auto"/>
              </w:rPr>
            </w:pPr>
          </w:p>
        </w:tc>
      </w:tr>
      <w:tr>
        <w:trPr>
          <w:trHeight w:val="168"/>
        </w:trPr>
        <w:tc>
          <w:tcPr>
            <w:tcW w:w="1280" w:type="dxa"/>
            <w:vAlign w:val="bottom"/>
          </w:tcPr>
          <w:p>
            <w:pPr>
              <w:spacing w:after="0"/>
              <w:rPr>
                <w:sz w:val="14"/>
                <w:szCs w:val="14"/>
                <w:color w:val="auto"/>
              </w:rPr>
            </w:pPr>
          </w:p>
        </w:tc>
        <w:tc>
          <w:tcPr>
            <w:tcW w:w="642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dated July 31, 1996, and the same is hereby incorporated herein by</w:t>
            </w:r>
          </w:p>
        </w:tc>
      </w:tr>
      <w:tr>
        <w:trPr>
          <w:trHeight w:val="168"/>
        </w:trPr>
        <w:tc>
          <w:tcPr>
            <w:tcW w:w="1280" w:type="dxa"/>
            <w:vAlign w:val="bottom"/>
          </w:tcPr>
          <w:p>
            <w:pPr>
              <w:spacing w:after="0"/>
              <w:rPr>
                <w:sz w:val="14"/>
                <w:szCs w:val="14"/>
                <w:color w:val="auto"/>
              </w:rPr>
            </w:pPr>
          </w:p>
        </w:tc>
        <w:tc>
          <w:tcPr>
            <w:tcW w:w="57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reference.</w:t>
            </w:r>
          </w:p>
        </w:tc>
        <w:tc>
          <w:tcPr>
            <w:tcW w:w="700" w:type="dxa"/>
            <w:vAlign w:val="bottom"/>
          </w:tcPr>
          <w:p>
            <w:pPr>
              <w:spacing w:after="0"/>
              <w:rPr>
                <w:sz w:val="14"/>
                <w:szCs w:val="14"/>
                <w:color w:val="auto"/>
              </w:rPr>
            </w:pPr>
          </w:p>
        </w:tc>
      </w:tr>
      <w:tr>
        <w:trPr>
          <w:trHeight w:val="336"/>
        </w:trPr>
        <w:tc>
          <w:tcPr>
            <w:tcW w:w="1280" w:type="dxa"/>
            <w:vAlign w:val="bottom"/>
          </w:tcPr>
          <w:p>
            <w:pPr>
              <w:spacing w:after="0"/>
              <w:rPr>
                <w:sz w:val="20"/>
                <w:szCs w:val="20"/>
                <w:color w:val="auto"/>
              </w:rPr>
            </w:pPr>
            <w:r>
              <w:rPr>
                <w:rFonts w:ascii="Courier New" w:cs="Courier New" w:eastAsia="Courier New" w:hAnsi="Courier New"/>
                <w:sz w:val="15"/>
                <w:szCs w:val="15"/>
                <w:color w:val="auto"/>
              </w:rPr>
              <w:t>3(b)(1)</w:t>
            </w:r>
          </w:p>
        </w:tc>
        <w:tc>
          <w:tcPr>
            <w:tcW w:w="5720" w:type="dxa"/>
            <w:vAlign w:val="bottom"/>
          </w:tcPr>
          <w:p>
            <w:pPr>
              <w:ind w:left="120"/>
              <w:spacing w:after="0"/>
              <w:rPr>
                <w:sz w:val="20"/>
                <w:szCs w:val="20"/>
                <w:color w:val="auto"/>
              </w:rPr>
            </w:pPr>
            <w:r>
              <w:rPr>
                <w:rFonts w:ascii="Courier New" w:cs="Courier New" w:eastAsia="Courier New" w:hAnsi="Courier New"/>
                <w:sz w:val="15"/>
                <w:szCs w:val="15"/>
                <w:color w:val="auto"/>
              </w:rPr>
              <w:t>Registrant's Bylaws as amended and restated August 18, 1995,</w:t>
            </w:r>
          </w:p>
        </w:tc>
        <w:tc>
          <w:tcPr>
            <w:tcW w:w="700" w:type="dxa"/>
            <w:vAlign w:val="bottom"/>
          </w:tcPr>
          <w:p>
            <w:pPr>
              <w:spacing w:after="0"/>
              <w:rPr>
                <w:sz w:val="24"/>
                <w:szCs w:val="24"/>
                <w:color w:val="auto"/>
              </w:rPr>
            </w:pPr>
          </w:p>
        </w:tc>
      </w:tr>
      <w:tr>
        <w:trPr>
          <w:trHeight w:val="168"/>
        </w:trPr>
        <w:tc>
          <w:tcPr>
            <w:tcW w:w="1280" w:type="dxa"/>
            <w:vAlign w:val="bottom"/>
          </w:tcPr>
          <w:p>
            <w:pPr>
              <w:spacing w:after="0"/>
              <w:rPr>
                <w:sz w:val="14"/>
                <w:szCs w:val="14"/>
                <w:color w:val="auto"/>
              </w:rPr>
            </w:pPr>
          </w:p>
        </w:tc>
        <w:tc>
          <w:tcPr>
            <w:tcW w:w="57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9"/>
              </w:rPr>
              <w:t>were filed as Exhibit 3(b) to Registrant's Report on Form 10-Q</w:t>
            </w:r>
          </w:p>
        </w:tc>
        <w:tc>
          <w:tcPr>
            <w:tcW w:w="700" w:type="dxa"/>
            <w:vAlign w:val="bottom"/>
          </w:tcPr>
          <w:p>
            <w:pPr>
              <w:spacing w:after="0"/>
              <w:rPr>
                <w:sz w:val="14"/>
                <w:szCs w:val="14"/>
                <w:color w:val="auto"/>
              </w:rPr>
            </w:pPr>
          </w:p>
        </w:tc>
      </w:tr>
      <w:tr>
        <w:trPr>
          <w:trHeight w:val="168"/>
        </w:trPr>
        <w:tc>
          <w:tcPr>
            <w:tcW w:w="1280" w:type="dxa"/>
            <w:vAlign w:val="bottom"/>
          </w:tcPr>
          <w:p>
            <w:pPr>
              <w:spacing w:after="0"/>
              <w:rPr>
                <w:sz w:val="14"/>
                <w:szCs w:val="14"/>
                <w:color w:val="auto"/>
              </w:rPr>
            </w:pPr>
          </w:p>
        </w:tc>
        <w:tc>
          <w:tcPr>
            <w:tcW w:w="642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dated November 1, 1995, and the same is hereby incorporated herein</w:t>
            </w:r>
          </w:p>
        </w:tc>
      </w:tr>
      <w:tr>
        <w:trPr>
          <w:trHeight w:val="168"/>
        </w:trPr>
        <w:tc>
          <w:tcPr>
            <w:tcW w:w="1280" w:type="dxa"/>
            <w:vAlign w:val="bottom"/>
          </w:tcPr>
          <w:p>
            <w:pPr>
              <w:spacing w:after="0"/>
              <w:rPr>
                <w:sz w:val="14"/>
                <w:szCs w:val="14"/>
                <w:color w:val="auto"/>
              </w:rPr>
            </w:pPr>
          </w:p>
        </w:tc>
        <w:tc>
          <w:tcPr>
            <w:tcW w:w="57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by reference.</w:t>
            </w:r>
          </w:p>
        </w:tc>
        <w:tc>
          <w:tcPr>
            <w:tcW w:w="700" w:type="dxa"/>
            <w:vAlign w:val="bottom"/>
          </w:tcPr>
          <w:p>
            <w:pPr>
              <w:spacing w:after="0"/>
              <w:rPr>
                <w:sz w:val="14"/>
                <w:szCs w:val="14"/>
                <w:color w:val="auto"/>
              </w:rPr>
            </w:pPr>
          </w:p>
        </w:tc>
      </w:tr>
      <w:tr>
        <w:trPr>
          <w:trHeight w:val="336"/>
        </w:trPr>
        <w:tc>
          <w:tcPr>
            <w:tcW w:w="1280" w:type="dxa"/>
            <w:vAlign w:val="bottom"/>
          </w:tcPr>
          <w:p>
            <w:pPr>
              <w:spacing w:after="0"/>
              <w:rPr>
                <w:sz w:val="20"/>
                <w:szCs w:val="20"/>
                <w:color w:val="auto"/>
              </w:rPr>
            </w:pPr>
            <w:r>
              <w:rPr>
                <w:rFonts w:ascii="Courier New" w:cs="Courier New" w:eastAsia="Courier New" w:hAnsi="Courier New"/>
                <w:sz w:val="15"/>
                <w:szCs w:val="15"/>
                <w:color w:val="auto"/>
              </w:rPr>
              <w:t>3(b)(2)</w:t>
            </w:r>
          </w:p>
        </w:tc>
        <w:tc>
          <w:tcPr>
            <w:tcW w:w="5720" w:type="dxa"/>
            <w:vAlign w:val="bottom"/>
          </w:tcPr>
          <w:p>
            <w:pPr>
              <w:ind w:left="120"/>
              <w:spacing w:after="0"/>
              <w:rPr>
                <w:sz w:val="20"/>
                <w:szCs w:val="20"/>
                <w:color w:val="auto"/>
              </w:rPr>
            </w:pPr>
            <w:r>
              <w:rPr>
                <w:rFonts w:ascii="Courier New" w:cs="Courier New" w:eastAsia="Courier New" w:hAnsi="Courier New"/>
                <w:sz w:val="15"/>
                <w:szCs w:val="15"/>
                <w:color w:val="auto"/>
              </w:rPr>
              <w:t>First Amendment to Bylaws, adopted on August 25, 1997, was</w:t>
            </w:r>
          </w:p>
        </w:tc>
        <w:tc>
          <w:tcPr>
            <w:tcW w:w="700" w:type="dxa"/>
            <w:vAlign w:val="bottom"/>
          </w:tcPr>
          <w:p>
            <w:pPr>
              <w:spacing w:after="0"/>
              <w:rPr>
                <w:sz w:val="24"/>
                <w:szCs w:val="24"/>
                <w:color w:val="auto"/>
              </w:rPr>
            </w:pPr>
          </w:p>
        </w:tc>
      </w:tr>
      <w:tr>
        <w:trPr>
          <w:trHeight w:val="168"/>
        </w:trPr>
        <w:tc>
          <w:tcPr>
            <w:tcW w:w="1280" w:type="dxa"/>
            <w:vAlign w:val="bottom"/>
          </w:tcPr>
          <w:p>
            <w:pPr>
              <w:spacing w:after="0"/>
              <w:rPr>
                <w:sz w:val="14"/>
                <w:szCs w:val="14"/>
                <w:color w:val="auto"/>
              </w:rPr>
            </w:pPr>
          </w:p>
        </w:tc>
        <w:tc>
          <w:tcPr>
            <w:tcW w:w="57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8"/>
              </w:rPr>
              <w:t>filed as Exhibit 3(c) to Registrant's Report on Form 10-Q dated</w:t>
            </w:r>
          </w:p>
        </w:tc>
        <w:tc>
          <w:tcPr>
            <w:tcW w:w="700" w:type="dxa"/>
            <w:vAlign w:val="bottom"/>
          </w:tcPr>
          <w:p>
            <w:pPr>
              <w:spacing w:after="0"/>
              <w:rPr>
                <w:sz w:val="14"/>
                <w:szCs w:val="14"/>
                <w:color w:val="auto"/>
              </w:rPr>
            </w:pPr>
          </w:p>
        </w:tc>
      </w:tr>
      <w:tr>
        <w:trPr>
          <w:trHeight w:val="168"/>
        </w:trPr>
        <w:tc>
          <w:tcPr>
            <w:tcW w:w="1280" w:type="dxa"/>
            <w:vAlign w:val="bottom"/>
          </w:tcPr>
          <w:p>
            <w:pPr>
              <w:spacing w:after="0"/>
              <w:rPr>
                <w:sz w:val="14"/>
                <w:szCs w:val="14"/>
                <w:color w:val="auto"/>
              </w:rPr>
            </w:pPr>
          </w:p>
        </w:tc>
        <w:tc>
          <w:tcPr>
            <w:tcW w:w="57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8"/>
              </w:rPr>
              <w:t>October 31, 1997, and the same is hereby incorporated herein by</w:t>
            </w:r>
          </w:p>
        </w:tc>
        <w:tc>
          <w:tcPr>
            <w:tcW w:w="700" w:type="dxa"/>
            <w:vAlign w:val="bottom"/>
          </w:tcPr>
          <w:p>
            <w:pPr>
              <w:spacing w:after="0"/>
              <w:rPr>
                <w:sz w:val="14"/>
                <w:szCs w:val="14"/>
                <w:color w:val="auto"/>
              </w:rPr>
            </w:pPr>
          </w:p>
        </w:tc>
      </w:tr>
      <w:tr>
        <w:trPr>
          <w:trHeight w:val="168"/>
        </w:trPr>
        <w:tc>
          <w:tcPr>
            <w:tcW w:w="1280" w:type="dxa"/>
            <w:vAlign w:val="bottom"/>
          </w:tcPr>
          <w:p>
            <w:pPr>
              <w:spacing w:after="0"/>
              <w:rPr>
                <w:sz w:val="14"/>
                <w:szCs w:val="14"/>
                <w:color w:val="auto"/>
              </w:rPr>
            </w:pPr>
          </w:p>
        </w:tc>
        <w:tc>
          <w:tcPr>
            <w:tcW w:w="57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reference.</w:t>
            </w:r>
          </w:p>
        </w:tc>
        <w:tc>
          <w:tcPr>
            <w:tcW w:w="700" w:type="dxa"/>
            <w:vAlign w:val="bottom"/>
          </w:tcPr>
          <w:p>
            <w:pPr>
              <w:spacing w:after="0"/>
              <w:rPr>
                <w:sz w:val="14"/>
                <w:szCs w:val="14"/>
                <w:color w:val="auto"/>
              </w:rPr>
            </w:pPr>
          </w:p>
        </w:tc>
      </w:tr>
      <w:tr>
        <w:trPr>
          <w:trHeight w:val="336"/>
        </w:trPr>
        <w:tc>
          <w:tcPr>
            <w:tcW w:w="1280" w:type="dxa"/>
            <w:vAlign w:val="bottom"/>
          </w:tcPr>
          <w:p>
            <w:pPr>
              <w:spacing w:after="0"/>
              <w:rPr>
                <w:sz w:val="20"/>
                <w:szCs w:val="20"/>
                <w:color w:val="auto"/>
              </w:rPr>
            </w:pPr>
            <w:r>
              <w:rPr>
                <w:rFonts w:ascii="Courier New" w:cs="Courier New" w:eastAsia="Courier New" w:hAnsi="Courier New"/>
                <w:sz w:val="15"/>
                <w:szCs w:val="15"/>
                <w:color w:val="auto"/>
              </w:rPr>
              <w:t>4(a)</w:t>
            </w:r>
          </w:p>
        </w:tc>
        <w:tc>
          <w:tcPr>
            <w:tcW w:w="64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A specimen form of certificate for the Registrant's common stock,</w:t>
            </w:r>
          </w:p>
        </w:tc>
      </w:tr>
      <w:tr>
        <w:trPr>
          <w:trHeight w:val="168"/>
        </w:trPr>
        <w:tc>
          <w:tcPr>
            <w:tcW w:w="1280" w:type="dxa"/>
            <w:vAlign w:val="bottom"/>
          </w:tcPr>
          <w:p>
            <w:pPr>
              <w:spacing w:after="0"/>
              <w:rPr>
                <w:sz w:val="14"/>
                <w:szCs w:val="14"/>
                <w:color w:val="auto"/>
              </w:rPr>
            </w:pPr>
          </w:p>
        </w:tc>
        <w:tc>
          <w:tcPr>
            <w:tcW w:w="57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par value $.06 per share, was filed as part of a Registration</w:t>
            </w:r>
          </w:p>
        </w:tc>
        <w:tc>
          <w:tcPr>
            <w:tcW w:w="700" w:type="dxa"/>
            <w:vAlign w:val="bottom"/>
          </w:tcPr>
          <w:p>
            <w:pPr>
              <w:spacing w:after="0"/>
              <w:rPr>
                <w:sz w:val="14"/>
                <w:szCs w:val="14"/>
                <w:color w:val="auto"/>
              </w:rPr>
            </w:pPr>
          </w:p>
        </w:tc>
      </w:tr>
      <w:tr>
        <w:trPr>
          <w:trHeight w:val="168"/>
        </w:trPr>
        <w:tc>
          <w:tcPr>
            <w:tcW w:w="1280" w:type="dxa"/>
            <w:vAlign w:val="bottom"/>
          </w:tcPr>
          <w:p>
            <w:pPr>
              <w:spacing w:after="0"/>
              <w:rPr>
                <w:sz w:val="14"/>
                <w:szCs w:val="14"/>
                <w:color w:val="auto"/>
              </w:rPr>
            </w:pPr>
          </w:p>
        </w:tc>
        <w:tc>
          <w:tcPr>
            <w:tcW w:w="57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Statement (Registration Number 2-74226C) as Exhibit 3(a), as</w:t>
            </w:r>
          </w:p>
        </w:tc>
        <w:tc>
          <w:tcPr>
            <w:tcW w:w="700" w:type="dxa"/>
            <w:vAlign w:val="bottom"/>
          </w:tcPr>
          <w:p>
            <w:pPr>
              <w:spacing w:after="0"/>
              <w:rPr>
                <w:sz w:val="14"/>
                <w:szCs w:val="14"/>
                <w:color w:val="auto"/>
              </w:rPr>
            </w:pPr>
          </w:p>
        </w:tc>
      </w:tr>
      <w:tr>
        <w:trPr>
          <w:trHeight w:val="168"/>
        </w:trPr>
        <w:tc>
          <w:tcPr>
            <w:tcW w:w="1280" w:type="dxa"/>
            <w:vAlign w:val="bottom"/>
          </w:tcPr>
          <w:p>
            <w:pPr>
              <w:spacing w:after="0"/>
              <w:rPr>
                <w:sz w:val="14"/>
                <w:szCs w:val="14"/>
                <w:color w:val="auto"/>
              </w:rPr>
            </w:pPr>
          </w:p>
        </w:tc>
        <w:tc>
          <w:tcPr>
            <w:tcW w:w="642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amended by Amendment No. 3 to such Registration Statement, and the</w:t>
            </w:r>
          </w:p>
        </w:tc>
      </w:tr>
      <w:tr>
        <w:trPr>
          <w:trHeight w:val="168"/>
        </w:trPr>
        <w:tc>
          <w:tcPr>
            <w:tcW w:w="1280" w:type="dxa"/>
            <w:vAlign w:val="bottom"/>
          </w:tcPr>
          <w:p>
            <w:pPr>
              <w:spacing w:after="0"/>
              <w:rPr>
                <w:sz w:val="14"/>
                <w:szCs w:val="14"/>
                <w:color w:val="auto"/>
              </w:rPr>
            </w:pPr>
          </w:p>
        </w:tc>
        <w:tc>
          <w:tcPr>
            <w:tcW w:w="57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same is hereby incorporated herein by reference.</w:t>
            </w:r>
          </w:p>
        </w:tc>
        <w:tc>
          <w:tcPr>
            <w:tcW w:w="700" w:type="dxa"/>
            <w:vAlign w:val="bottom"/>
          </w:tcPr>
          <w:p>
            <w:pPr>
              <w:spacing w:after="0"/>
              <w:rPr>
                <w:sz w:val="14"/>
                <w:szCs w:val="14"/>
                <w:color w:val="auto"/>
              </w:rPr>
            </w:pPr>
          </w:p>
        </w:tc>
      </w:tr>
      <w:tr>
        <w:trPr>
          <w:trHeight w:val="336"/>
        </w:trPr>
        <w:tc>
          <w:tcPr>
            <w:tcW w:w="1280" w:type="dxa"/>
            <w:vAlign w:val="bottom"/>
          </w:tcPr>
          <w:p>
            <w:pPr>
              <w:spacing w:after="0"/>
              <w:rPr>
                <w:sz w:val="20"/>
                <w:szCs w:val="20"/>
                <w:color w:val="auto"/>
              </w:rPr>
            </w:pPr>
            <w:r>
              <w:rPr>
                <w:rFonts w:ascii="Courier New" w:cs="Courier New" w:eastAsia="Courier New" w:hAnsi="Courier New"/>
                <w:sz w:val="15"/>
                <w:szCs w:val="15"/>
                <w:color w:val="auto"/>
              </w:rPr>
              <w:t>4(b)</w:t>
            </w:r>
          </w:p>
        </w:tc>
        <w:tc>
          <w:tcPr>
            <w:tcW w:w="5720" w:type="dxa"/>
            <w:vAlign w:val="bottom"/>
          </w:tcPr>
          <w:p>
            <w:pPr>
              <w:ind w:left="120"/>
              <w:spacing w:after="0"/>
              <w:rPr>
                <w:sz w:val="20"/>
                <w:szCs w:val="20"/>
                <w:color w:val="auto"/>
              </w:rPr>
            </w:pPr>
            <w:r>
              <w:rPr>
                <w:rFonts w:ascii="Courier New" w:cs="Courier New" w:eastAsia="Courier New" w:hAnsi="Courier New"/>
                <w:sz w:val="15"/>
                <w:szCs w:val="15"/>
                <w:color w:val="auto"/>
                <w:w w:val="98"/>
              </w:rPr>
              <w:t>Shareholder Protection Rights Agreement, dated as of August 26,</w:t>
            </w:r>
          </w:p>
        </w:tc>
        <w:tc>
          <w:tcPr>
            <w:tcW w:w="700" w:type="dxa"/>
            <w:vAlign w:val="bottom"/>
          </w:tcPr>
          <w:p>
            <w:pPr>
              <w:spacing w:after="0"/>
              <w:rPr>
                <w:sz w:val="24"/>
                <w:szCs w:val="24"/>
                <w:color w:val="auto"/>
              </w:rPr>
            </w:pPr>
          </w:p>
        </w:tc>
      </w:tr>
      <w:tr>
        <w:trPr>
          <w:trHeight w:val="168"/>
        </w:trPr>
        <w:tc>
          <w:tcPr>
            <w:tcW w:w="1280" w:type="dxa"/>
            <w:vAlign w:val="bottom"/>
          </w:tcPr>
          <w:p>
            <w:pPr>
              <w:spacing w:after="0"/>
              <w:rPr>
                <w:sz w:val="14"/>
                <w:szCs w:val="14"/>
                <w:color w:val="auto"/>
              </w:rPr>
            </w:pPr>
          </w:p>
        </w:tc>
        <w:tc>
          <w:tcPr>
            <w:tcW w:w="57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6"/>
              </w:rPr>
              <w:t>1991, including as Exhibit A the form of Certificate of Adoption</w:t>
            </w:r>
          </w:p>
        </w:tc>
        <w:tc>
          <w:tcPr>
            <w:tcW w:w="700" w:type="dxa"/>
            <w:vAlign w:val="bottom"/>
          </w:tcPr>
          <w:p>
            <w:pPr>
              <w:spacing w:after="0"/>
              <w:rPr>
                <w:sz w:val="14"/>
                <w:szCs w:val="14"/>
                <w:color w:val="auto"/>
              </w:rPr>
            </w:pPr>
          </w:p>
        </w:tc>
      </w:tr>
      <w:tr>
        <w:trPr>
          <w:trHeight w:val="168"/>
        </w:trPr>
        <w:tc>
          <w:tcPr>
            <w:tcW w:w="1280" w:type="dxa"/>
            <w:vAlign w:val="bottom"/>
          </w:tcPr>
          <w:p>
            <w:pPr>
              <w:spacing w:after="0"/>
              <w:rPr>
                <w:sz w:val="14"/>
                <w:szCs w:val="14"/>
                <w:color w:val="auto"/>
              </w:rPr>
            </w:pPr>
          </w:p>
        </w:tc>
        <w:tc>
          <w:tcPr>
            <w:tcW w:w="57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of Resolution Establishing Series of Shares of Junior</w:t>
            </w:r>
          </w:p>
        </w:tc>
        <w:tc>
          <w:tcPr>
            <w:tcW w:w="700" w:type="dxa"/>
            <w:vAlign w:val="bottom"/>
          </w:tcPr>
          <w:p>
            <w:pPr>
              <w:spacing w:after="0"/>
              <w:rPr>
                <w:sz w:val="14"/>
                <w:szCs w:val="14"/>
                <w:color w:val="auto"/>
              </w:rPr>
            </w:pPr>
          </w:p>
        </w:tc>
      </w:tr>
      <w:tr>
        <w:trPr>
          <w:trHeight w:val="168"/>
        </w:trPr>
        <w:tc>
          <w:tcPr>
            <w:tcW w:w="1280" w:type="dxa"/>
            <w:vAlign w:val="bottom"/>
          </w:tcPr>
          <w:p>
            <w:pPr>
              <w:spacing w:after="0"/>
              <w:rPr>
                <w:sz w:val="14"/>
                <w:szCs w:val="14"/>
                <w:color w:val="auto"/>
              </w:rPr>
            </w:pPr>
          </w:p>
        </w:tc>
        <w:tc>
          <w:tcPr>
            <w:tcW w:w="642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Participating Preferred Stock of the Company, and as Exhibit B the</w:t>
            </w:r>
          </w:p>
        </w:tc>
      </w:tr>
      <w:tr>
        <w:trPr>
          <w:trHeight w:val="168"/>
        </w:trPr>
        <w:tc>
          <w:tcPr>
            <w:tcW w:w="1280" w:type="dxa"/>
            <w:vAlign w:val="bottom"/>
          </w:tcPr>
          <w:p>
            <w:pPr>
              <w:spacing w:after="0"/>
              <w:rPr>
                <w:sz w:val="14"/>
                <w:szCs w:val="14"/>
                <w:color w:val="auto"/>
              </w:rPr>
            </w:pPr>
          </w:p>
        </w:tc>
        <w:tc>
          <w:tcPr>
            <w:tcW w:w="642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form of Rights Certificate and of Election to Exercise, was filed</w:t>
            </w:r>
          </w:p>
        </w:tc>
      </w:tr>
      <w:tr>
        <w:trPr>
          <w:trHeight w:val="168"/>
        </w:trPr>
        <w:tc>
          <w:tcPr>
            <w:tcW w:w="1280" w:type="dxa"/>
            <w:vAlign w:val="bottom"/>
          </w:tcPr>
          <w:p>
            <w:pPr>
              <w:spacing w:after="0"/>
              <w:rPr>
                <w:sz w:val="14"/>
                <w:szCs w:val="14"/>
                <w:color w:val="auto"/>
              </w:rPr>
            </w:pPr>
          </w:p>
        </w:tc>
        <w:tc>
          <w:tcPr>
            <w:tcW w:w="642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as Exhibit 4(b) to Registrant's Report on Form 8-K on August 1991,</w:t>
            </w:r>
          </w:p>
        </w:tc>
      </w:tr>
      <w:tr>
        <w:trPr>
          <w:trHeight w:val="168"/>
        </w:trPr>
        <w:tc>
          <w:tcPr>
            <w:tcW w:w="1280" w:type="dxa"/>
            <w:vAlign w:val="bottom"/>
          </w:tcPr>
          <w:p>
            <w:pPr>
              <w:spacing w:after="0"/>
              <w:rPr>
                <w:sz w:val="14"/>
                <w:szCs w:val="14"/>
                <w:color w:val="auto"/>
              </w:rPr>
            </w:pPr>
          </w:p>
        </w:tc>
        <w:tc>
          <w:tcPr>
            <w:tcW w:w="57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and the same is hereby incorporated herein by reference.</w:t>
            </w:r>
          </w:p>
        </w:tc>
        <w:tc>
          <w:tcPr>
            <w:tcW w:w="700" w:type="dxa"/>
            <w:vAlign w:val="bottom"/>
          </w:tcPr>
          <w:p>
            <w:pPr>
              <w:spacing w:after="0"/>
              <w:rPr>
                <w:sz w:val="14"/>
                <w:szCs w:val="14"/>
                <w:color w:val="auto"/>
              </w:rPr>
            </w:pPr>
          </w:p>
        </w:tc>
      </w:tr>
      <w:tr>
        <w:trPr>
          <w:trHeight w:val="336"/>
        </w:trPr>
        <w:tc>
          <w:tcPr>
            <w:tcW w:w="1280" w:type="dxa"/>
            <w:vAlign w:val="bottom"/>
          </w:tcPr>
          <w:p>
            <w:pPr>
              <w:spacing w:after="0"/>
              <w:rPr>
                <w:sz w:val="20"/>
                <w:szCs w:val="20"/>
                <w:color w:val="auto"/>
              </w:rPr>
            </w:pPr>
            <w:r>
              <w:rPr>
                <w:rFonts w:ascii="Courier New" w:cs="Courier New" w:eastAsia="Courier New" w:hAnsi="Courier New"/>
                <w:sz w:val="15"/>
                <w:szCs w:val="15"/>
                <w:color w:val="auto"/>
              </w:rPr>
              <w:t>4(b)(1)</w:t>
            </w:r>
          </w:p>
        </w:tc>
        <w:tc>
          <w:tcPr>
            <w:tcW w:w="5720" w:type="dxa"/>
            <w:vAlign w:val="bottom"/>
          </w:tcPr>
          <w:p>
            <w:pPr>
              <w:ind w:left="120"/>
              <w:spacing w:after="0"/>
              <w:rPr>
                <w:sz w:val="20"/>
                <w:szCs w:val="20"/>
                <w:color w:val="auto"/>
              </w:rPr>
            </w:pPr>
            <w:r>
              <w:rPr>
                <w:rFonts w:ascii="Courier New" w:cs="Courier New" w:eastAsia="Courier New" w:hAnsi="Courier New"/>
                <w:sz w:val="15"/>
                <w:szCs w:val="15"/>
                <w:color w:val="auto"/>
              </w:rPr>
              <w:t>First Amendment to Shareholder Protection Rights Agreement,</w:t>
            </w:r>
          </w:p>
        </w:tc>
        <w:tc>
          <w:tcPr>
            <w:tcW w:w="700" w:type="dxa"/>
            <w:vAlign w:val="bottom"/>
          </w:tcPr>
          <w:p>
            <w:pPr>
              <w:spacing w:after="0"/>
              <w:rPr>
                <w:sz w:val="24"/>
                <w:szCs w:val="24"/>
                <w:color w:val="auto"/>
              </w:rPr>
            </w:pPr>
          </w:p>
        </w:tc>
      </w:tr>
      <w:tr>
        <w:trPr>
          <w:trHeight w:val="168"/>
        </w:trPr>
        <w:tc>
          <w:tcPr>
            <w:tcW w:w="1280" w:type="dxa"/>
            <w:vAlign w:val="bottom"/>
          </w:tcPr>
          <w:p>
            <w:pPr>
              <w:spacing w:after="0"/>
              <w:rPr>
                <w:sz w:val="14"/>
                <w:szCs w:val="14"/>
                <w:color w:val="auto"/>
              </w:rPr>
            </w:pPr>
          </w:p>
        </w:tc>
        <w:tc>
          <w:tcPr>
            <w:tcW w:w="57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effective April 1, 1994, was filed as Exhibit 4(b)(1) to</w:t>
            </w:r>
          </w:p>
        </w:tc>
        <w:tc>
          <w:tcPr>
            <w:tcW w:w="700" w:type="dxa"/>
            <w:vAlign w:val="bottom"/>
          </w:tcPr>
          <w:p>
            <w:pPr>
              <w:spacing w:after="0"/>
              <w:rPr>
                <w:sz w:val="14"/>
                <w:szCs w:val="14"/>
                <w:color w:val="auto"/>
              </w:rPr>
            </w:pPr>
          </w:p>
        </w:tc>
      </w:tr>
      <w:tr>
        <w:trPr>
          <w:trHeight w:val="168"/>
        </w:trPr>
        <w:tc>
          <w:tcPr>
            <w:tcW w:w="1280" w:type="dxa"/>
            <w:vAlign w:val="bottom"/>
          </w:tcPr>
          <w:p>
            <w:pPr>
              <w:spacing w:after="0"/>
              <w:rPr>
                <w:sz w:val="14"/>
                <w:szCs w:val="14"/>
                <w:color w:val="auto"/>
              </w:rPr>
            </w:pPr>
          </w:p>
        </w:tc>
        <w:tc>
          <w:tcPr>
            <w:tcW w:w="57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9"/>
              </w:rPr>
              <w:t>Registrant's Report on Form 10-Q dated April 29, 1994, and the</w:t>
            </w:r>
          </w:p>
        </w:tc>
        <w:tc>
          <w:tcPr>
            <w:tcW w:w="700" w:type="dxa"/>
            <w:vAlign w:val="bottom"/>
          </w:tcPr>
          <w:p>
            <w:pPr>
              <w:spacing w:after="0"/>
              <w:rPr>
                <w:sz w:val="14"/>
                <w:szCs w:val="14"/>
                <w:color w:val="auto"/>
              </w:rPr>
            </w:pPr>
          </w:p>
        </w:tc>
      </w:tr>
      <w:tr>
        <w:trPr>
          <w:trHeight w:val="168"/>
        </w:trPr>
        <w:tc>
          <w:tcPr>
            <w:tcW w:w="1280" w:type="dxa"/>
            <w:vAlign w:val="bottom"/>
          </w:tcPr>
          <w:p>
            <w:pPr>
              <w:spacing w:after="0"/>
              <w:rPr>
                <w:sz w:val="14"/>
                <w:szCs w:val="14"/>
                <w:color w:val="auto"/>
              </w:rPr>
            </w:pPr>
          </w:p>
        </w:tc>
        <w:tc>
          <w:tcPr>
            <w:tcW w:w="57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same is hereby incorporated herein by reference.</w:t>
            </w:r>
          </w:p>
        </w:tc>
        <w:tc>
          <w:tcPr>
            <w:tcW w:w="700" w:type="dxa"/>
            <w:vAlign w:val="bottom"/>
          </w:tcPr>
          <w:p>
            <w:pPr>
              <w:spacing w:after="0"/>
              <w:rPr>
                <w:sz w:val="14"/>
                <w:szCs w:val="14"/>
                <w:color w:val="auto"/>
              </w:rPr>
            </w:pPr>
          </w:p>
        </w:tc>
      </w:tr>
      <w:tr>
        <w:trPr>
          <w:trHeight w:val="336"/>
        </w:trPr>
        <w:tc>
          <w:tcPr>
            <w:tcW w:w="1280" w:type="dxa"/>
            <w:vAlign w:val="bottom"/>
          </w:tcPr>
          <w:p>
            <w:pPr>
              <w:spacing w:after="0"/>
              <w:rPr>
                <w:sz w:val="20"/>
                <w:szCs w:val="20"/>
                <w:color w:val="auto"/>
              </w:rPr>
            </w:pPr>
            <w:r>
              <w:rPr>
                <w:rFonts w:ascii="Courier New" w:cs="Courier New" w:eastAsia="Courier New" w:hAnsi="Courier New"/>
                <w:sz w:val="15"/>
                <w:szCs w:val="15"/>
                <w:color w:val="auto"/>
              </w:rPr>
              <w:t>4(b)(2)</w:t>
            </w:r>
          </w:p>
        </w:tc>
        <w:tc>
          <w:tcPr>
            <w:tcW w:w="5720" w:type="dxa"/>
            <w:vAlign w:val="bottom"/>
          </w:tcPr>
          <w:p>
            <w:pPr>
              <w:ind w:left="120"/>
              <w:spacing w:after="0"/>
              <w:rPr>
                <w:sz w:val="20"/>
                <w:szCs w:val="20"/>
                <w:color w:val="auto"/>
              </w:rPr>
            </w:pPr>
            <w:r>
              <w:rPr>
                <w:rFonts w:ascii="Courier New" w:cs="Courier New" w:eastAsia="Courier New" w:hAnsi="Courier New"/>
                <w:sz w:val="15"/>
                <w:szCs w:val="15"/>
                <w:color w:val="auto"/>
              </w:rPr>
              <w:t>Second Amendment to Shareholder Protection Rights Agreement,</w:t>
            </w:r>
          </w:p>
        </w:tc>
        <w:tc>
          <w:tcPr>
            <w:tcW w:w="700" w:type="dxa"/>
            <w:vAlign w:val="bottom"/>
          </w:tcPr>
          <w:p>
            <w:pPr>
              <w:spacing w:after="0"/>
              <w:rPr>
                <w:sz w:val="24"/>
                <w:szCs w:val="24"/>
                <w:color w:val="auto"/>
              </w:rPr>
            </w:pPr>
          </w:p>
        </w:tc>
      </w:tr>
      <w:tr>
        <w:trPr>
          <w:trHeight w:val="168"/>
        </w:trPr>
        <w:tc>
          <w:tcPr>
            <w:tcW w:w="1280" w:type="dxa"/>
            <w:vAlign w:val="bottom"/>
          </w:tcPr>
          <w:p>
            <w:pPr>
              <w:spacing w:after="0"/>
              <w:rPr>
                <w:sz w:val="14"/>
                <w:szCs w:val="14"/>
                <w:color w:val="auto"/>
              </w:rPr>
            </w:pPr>
          </w:p>
        </w:tc>
        <w:tc>
          <w:tcPr>
            <w:tcW w:w="57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effective November 8, 1996, was filed as Exhibit 4(b)(2) to</w:t>
            </w:r>
          </w:p>
        </w:tc>
        <w:tc>
          <w:tcPr>
            <w:tcW w:w="700" w:type="dxa"/>
            <w:vAlign w:val="bottom"/>
          </w:tcPr>
          <w:p>
            <w:pPr>
              <w:spacing w:after="0"/>
              <w:rPr>
                <w:sz w:val="14"/>
                <w:szCs w:val="14"/>
                <w:color w:val="auto"/>
              </w:rPr>
            </w:pPr>
          </w:p>
        </w:tc>
      </w:tr>
      <w:tr>
        <w:trPr>
          <w:trHeight w:val="168"/>
        </w:trPr>
        <w:tc>
          <w:tcPr>
            <w:tcW w:w="1280" w:type="dxa"/>
            <w:vAlign w:val="bottom"/>
          </w:tcPr>
          <w:p>
            <w:pPr>
              <w:spacing w:after="0"/>
              <w:rPr>
                <w:sz w:val="14"/>
                <w:szCs w:val="14"/>
                <w:color w:val="auto"/>
              </w:rPr>
            </w:pPr>
          </w:p>
        </w:tc>
        <w:tc>
          <w:tcPr>
            <w:tcW w:w="642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Registrant's Report on Form 10-K dated March 7, 1997, and the same</w:t>
            </w:r>
          </w:p>
        </w:tc>
      </w:tr>
      <w:tr>
        <w:trPr>
          <w:trHeight w:val="168"/>
        </w:trPr>
        <w:tc>
          <w:tcPr>
            <w:tcW w:w="1280" w:type="dxa"/>
            <w:vAlign w:val="bottom"/>
          </w:tcPr>
          <w:p>
            <w:pPr>
              <w:spacing w:after="0"/>
              <w:rPr>
                <w:sz w:val="14"/>
                <w:szCs w:val="14"/>
                <w:color w:val="auto"/>
              </w:rPr>
            </w:pPr>
          </w:p>
        </w:tc>
        <w:tc>
          <w:tcPr>
            <w:tcW w:w="57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is hereby incorporated herein by reference.</w:t>
            </w:r>
          </w:p>
        </w:tc>
        <w:tc>
          <w:tcPr>
            <w:tcW w:w="700" w:type="dxa"/>
            <w:vAlign w:val="bottom"/>
          </w:tcPr>
          <w:p>
            <w:pPr>
              <w:spacing w:after="0"/>
              <w:rPr>
                <w:sz w:val="14"/>
                <w:szCs w:val="14"/>
                <w:color w:val="auto"/>
              </w:rPr>
            </w:pPr>
          </w:p>
        </w:tc>
      </w:tr>
      <w:tr>
        <w:trPr>
          <w:trHeight w:val="336"/>
        </w:trPr>
        <w:tc>
          <w:tcPr>
            <w:tcW w:w="1280" w:type="dxa"/>
            <w:vAlign w:val="bottom"/>
          </w:tcPr>
          <w:p>
            <w:pPr>
              <w:spacing w:after="0"/>
              <w:rPr>
                <w:sz w:val="20"/>
                <w:szCs w:val="20"/>
                <w:color w:val="auto"/>
              </w:rPr>
            </w:pPr>
            <w:r>
              <w:rPr>
                <w:rFonts w:ascii="Courier New" w:cs="Courier New" w:eastAsia="Courier New" w:hAnsi="Courier New"/>
                <w:sz w:val="15"/>
                <w:szCs w:val="15"/>
                <w:color w:val="auto"/>
              </w:rPr>
              <w:t>10(a)(1)</w:t>
            </w:r>
          </w:p>
        </w:tc>
        <w:tc>
          <w:tcPr>
            <w:tcW w:w="5720" w:type="dxa"/>
            <w:vAlign w:val="bottom"/>
          </w:tcPr>
          <w:p>
            <w:pPr>
              <w:ind w:left="120"/>
              <w:spacing w:after="0"/>
              <w:rPr>
                <w:sz w:val="20"/>
                <w:szCs w:val="20"/>
                <w:color w:val="auto"/>
              </w:rPr>
            </w:pPr>
            <w:r>
              <w:rPr>
                <w:rFonts w:ascii="Courier New" w:cs="Courier New" w:eastAsia="Courier New" w:hAnsi="Courier New"/>
                <w:sz w:val="15"/>
                <w:szCs w:val="15"/>
                <w:color w:val="auto"/>
              </w:rPr>
              <w:t>A Lease, dated August 15, 1981, was filed as part of a</w:t>
            </w:r>
          </w:p>
        </w:tc>
        <w:tc>
          <w:tcPr>
            <w:tcW w:w="700" w:type="dxa"/>
            <w:vAlign w:val="bottom"/>
          </w:tcPr>
          <w:p>
            <w:pPr>
              <w:spacing w:after="0"/>
              <w:rPr>
                <w:sz w:val="24"/>
                <w:szCs w:val="24"/>
                <w:color w:val="auto"/>
              </w:rPr>
            </w:pPr>
          </w:p>
        </w:tc>
      </w:tr>
      <w:tr>
        <w:trPr>
          <w:trHeight w:val="168"/>
        </w:trPr>
        <w:tc>
          <w:tcPr>
            <w:tcW w:w="1280" w:type="dxa"/>
            <w:vAlign w:val="bottom"/>
          </w:tcPr>
          <w:p>
            <w:pPr>
              <w:spacing w:after="0"/>
              <w:rPr>
                <w:sz w:val="14"/>
                <w:szCs w:val="14"/>
                <w:color w:val="auto"/>
              </w:rPr>
            </w:pPr>
          </w:p>
        </w:tc>
        <w:tc>
          <w:tcPr>
            <w:tcW w:w="57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6"/>
              </w:rPr>
              <w:t>Registration Statement (Registration Number 2-74226C) as Exhibit</w:t>
            </w:r>
          </w:p>
        </w:tc>
        <w:tc>
          <w:tcPr>
            <w:tcW w:w="700" w:type="dxa"/>
            <w:vAlign w:val="bottom"/>
          </w:tcPr>
          <w:p>
            <w:pPr>
              <w:spacing w:after="0"/>
              <w:rPr>
                <w:sz w:val="14"/>
                <w:szCs w:val="14"/>
                <w:color w:val="auto"/>
              </w:rPr>
            </w:pPr>
          </w:p>
        </w:tc>
      </w:tr>
      <w:tr>
        <w:trPr>
          <w:trHeight w:val="168"/>
        </w:trPr>
        <w:tc>
          <w:tcPr>
            <w:tcW w:w="1280" w:type="dxa"/>
            <w:vAlign w:val="bottom"/>
          </w:tcPr>
          <w:p>
            <w:pPr>
              <w:spacing w:after="0"/>
              <w:rPr>
                <w:sz w:val="14"/>
                <w:szCs w:val="14"/>
                <w:color w:val="auto"/>
              </w:rPr>
            </w:pPr>
          </w:p>
        </w:tc>
        <w:tc>
          <w:tcPr>
            <w:tcW w:w="642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9(a)(1), and the same is hereby incorporated herein by reference.</w:t>
            </w:r>
          </w:p>
        </w:tc>
      </w:tr>
      <w:tr>
        <w:trPr>
          <w:trHeight w:val="336"/>
        </w:trPr>
        <w:tc>
          <w:tcPr>
            <w:tcW w:w="1280" w:type="dxa"/>
            <w:vAlign w:val="bottom"/>
          </w:tcPr>
          <w:p>
            <w:pPr>
              <w:spacing w:after="0"/>
              <w:rPr>
                <w:sz w:val="20"/>
                <w:szCs w:val="20"/>
                <w:color w:val="auto"/>
              </w:rPr>
            </w:pPr>
            <w:r>
              <w:rPr>
                <w:rFonts w:ascii="Courier New" w:cs="Courier New" w:eastAsia="Courier New" w:hAnsi="Courier New"/>
                <w:sz w:val="15"/>
                <w:szCs w:val="15"/>
                <w:color w:val="auto"/>
              </w:rPr>
              <w:t>10(a)(2)</w:t>
            </w:r>
          </w:p>
        </w:tc>
        <w:tc>
          <w:tcPr>
            <w:tcW w:w="5720" w:type="dxa"/>
            <w:vAlign w:val="bottom"/>
          </w:tcPr>
          <w:p>
            <w:pPr>
              <w:ind w:left="120"/>
              <w:spacing w:after="0"/>
              <w:rPr>
                <w:sz w:val="20"/>
                <w:szCs w:val="20"/>
                <w:color w:val="auto"/>
              </w:rPr>
            </w:pPr>
            <w:r>
              <w:rPr>
                <w:rFonts w:ascii="Courier New" w:cs="Courier New" w:eastAsia="Courier New" w:hAnsi="Courier New"/>
                <w:sz w:val="15"/>
                <w:szCs w:val="15"/>
                <w:color w:val="auto"/>
              </w:rPr>
              <w:t>A First Amendment to Lease, dated June 28, 1985, was filed as</w:t>
            </w:r>
          </w:p>
        </w:tc>
        <w:tc>
          <w:tcPr>
            <w:tcW w:w="700" w:type="dxa"/>
            <w:vAlign w:val="bottom"/>
          </w:tcPr>
          <w:p>
            <w:pPr>
              <w:spacing w:after="0"/>
              <w:rPr>
                <w:sz w:val="24"/>
                <w:szCs w:val="24"/>
                <w:color w:val="auto"/>
              </w:rPr>
            </w:pPr>
          </w:p>
        </w:tc>
      </w:tr>
      <w:tr>
        <w:trPr>
          <w:trHeight w:val="168"/>
        </w:trPr>
        <w:tc>
          <w:tcPr>
            <w:tcW w:w="1280" w:type="dxa"/>
            <w:vAlign w:val="bottom"/>
          </w:tcPr>
          <w:p>
            <w:pPr>
              <w:spacing w:after="0"/>
              <w:rPr>
                <w:sz w:val="14"/>
                <w:szCs w:val="14"/>
                <w:color w:val="auto"/>
              </w:rPr>
            </w:pPr>
          </w:p>
        </w:tc>
        <w:tc>
          <w:tcPr>
            <w:tcW w:w="57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Exhibit 10(m) to Registrant's Report on Form 10-K dated</w:t>
            </w:r>
          </w:p>
        </w:tc>
        <w:tc>
          <w:tcPr>
            <w:tcW w:w="700" w:type="dxa"/>
            <w:vAlign w:val="bottom"/>
          </w:tcPr>
          <w:p>
            <w:pPr>
              <w:spacing w:after="0"/>
              <w:rPr>
                <w:sz w:val="14"/>
                <w:szCs w:val="14"/>
                <w:color w:val="auto"/>
              </w:rPr>
            </w:pPr>
          </w:p>
        </w:tc>
      </w:tr>
      <w:tr>
        <w:trPr>
          <w:trHeight w:val="168"/>
        </w:trPr>
        <w:tc>
          <w:tcPr>
            <w:tcW w:w="1280" w:type="dxa"/>
            <w:vAlign w:val="bottom"/>
          </w:tcPr>
          <w:p>
            <w:pPr>
              <w:spacing w:after="0"/>
              <w:rPr>
                <w:sz w:val="14"/>
                <w:szCs w:val="14"/>
                <w:color w:val="auto"/>
              </w:rPr>
            </w:pPr>
          </w:p>
        </w:tc>
        <w:tc>
          <w:tcPr>
            <w:tcW w:w="642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w w:val="96"/>
              </w:rPr>
              <w:t>March 18, 1986, and the same is hereby incorporated herein by reference.</w:t>
            </w:r>
          </w:p>
        </w:tc>
      </w:tr>
      <w:tr>
        <w:trPr>
          <w:trHeight w:val="336"/>
        </w:trPr>
        <w:tc>
          <w:tcPr>
            <w:tcW w:w="1280" w:type="dxa"/>
            <w:vAlign w:val="bottom"/>
          </w:tcPr>
          <w:p>
            <w:pPr>
              <w:spacing w:after="0"/>
              <w:rPr>
                <w:sz w:val="20"/>
                <w:szCs w:val="20"/>
                <w:color w:val="auto"/>
              </w:rPr>
            </w:pPr>
            <w:r>
              <w:rPr>
                <w:rFonts w:ascii="Courier New" w:cs="Courier New" w:eastAsia="Courier New" w:hAnsi="Courier New"/>
                <w:sz w:val="15"/>
                <w:szCs w:val="15"/>
                <w:color w:val="auto"/>
              </w:rPr>
              <w:t>*10(b)(1)</w:t>
            </w:r>
          </w:p>
        </w:tc>
        <w:tc>
          <w:tcPr>
            <w:tcW w:w="5720" w:type="dxa"/>
            <w:vAlign w:val="bottom"/>
          </w:tcPr>
          <w:p>
            <w:pPr>
              <w:ind w:left="120"/>
              <w:spacing w:after="0"/>
              <w:rPr>
                <w:sz w:val="20"/>
                <w:szCs w:val="20"/>
                <w:color w:val="auto"/>
              </w:rPr>
            </w:pPr>
            <w:r>
              <w:rPr>
                <w:rFonts w:ascii="Courier New" w:cs="Courier New" w:eastAsia="Courier New" w:hAnsi="Courier New"/>
                <w:sz w:val="15"/>
                <w:szCs w:val="15"/>
                <w:color w:val="auto"/>
                <w:w w:val="99"/>
              </w:rPr>
              <w:t>Gentex Corporation Qualified Stock Option Plan (as amended and</w:t>
            </w:r>
          </w:p>
        </w:tc>
        <w:tc>
          <w:tcPr>
            <w:tcW w:w="700" w:type="dxa"/>
            <w:vAlign w:val="bottom"/>
          </w:tcPr>
          <w:p>
            <w:pPr>
              <w:spacing w:after="0"/>
              <w:rPr>
                <w:sz w:val="24"/>
                <w:szCs w:val="24"/>
                <w:color w:val="auto"/>
              </w:rPr>
            </w:pPr>
          </w:p>
        </w:tc>
      </w:tr>
      <w:tr>
        <w:trPr>
          <w:trHeight w:val="168"/>
        </w:trPr>
        <w:tc>
          <w:tcPr>
            <w:tcW w:w="1280" w:type="dxa"/>
            <w:vAlign w:val="bottom"/>
          </w:tcPr>
          <w:p>
            <w:pPr>
              <w:spacing w:after="0"/>
              <w:rPr>
                <w:sz w:val="14"/>
                <w:szCs w:val="14"/>
                <w:color w:val="auto"/>
              </w:rPr>
            </w:pPr>
          </w:p>
        </w:tc>
        <w:tc>
          <w:tcPr>
            <w:tcW w:w="642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restated, effective March 7, 1997) was filed as Exhibit 10(b)(1) to</w:t>
            </w:r>
          </w:p>
        </w:tc>
      </w:tr>
      <w:tr>
        <w:trPr>
          <w:trHeight w:val="168"/>
        </w:trPr>
        <w:tc>
          <w:tcPr>
            <w:tcW w:w="1280" w:type="dxa"/>
            <w:vAlign w:val="bottom"/>
          </w:tcPr>
          <w:p>
            <w:pPr>
              <w:spacing w:after="0"/>
              <w:rPr>
                <w:sz w:val="14"/>
                <w:szCs w:val="14"/>
                <w:color w:val="auto"/>
              </w:rPr>
            </w:pPr>
          </w:p>
        </w:tc>
        <w:tc>
          <w:tcPr>
            <w:tcW w:w="642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Registrant's Report on Form 10-K dated March 7, 1997, and the same</w:t>
            </w:r>
          </w:p>
        </w:tc>
      </w:tr>
      <w:tr>
        <w:trPr>
          <w:trHeight w:val="168"/>
        </w:trPr>
        <w:tc>
          <w:tcPr>
            <w:tcW w:w="1280" w:type="dxa"/>
            <w:vAlign w:val="bottom"/>
          </w:tcPr>
          <w:p>
            <w:pPr>
              <w:spacing w:after="0"/>
              <w:rPr>
                <w:sz w:val="14"/>
                <w:szCs w:val="14"/>
                <w:color w:val="auto"/>
              </w:rPr>
            </w:pPr>
          </w:p>
        </w:tc>
        <w:tc>
          <w:tcPr>
            <w:tcW w:w="57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is hereby incorporated herein by reference.</w:t>
            </w:r>
          </w:p>
        </w:tc>
        <w:tc>
          <w:tcPr>
            <w:tcW w:w="700" w:type="dxa"/>
            <w:vAlign w:val="bottom"/>
          </w:tcPr>
          <w:p>
            <w:pPr>
              <w:spacing w:after="0"/>
              <w:rPr>
                <w:sz w:val="14"/>
                <w:szCs w:val="14"/>
                <w:color w:val="auto"/>
              </w:rPr>
            </w:pPr>
          </w:p>
        </w:tc>
      </w:tr>
      <w:tr>
        <w:trPr>
          <w:trHeight w:val="336"/>
        </w:trPr>
        <w:tc>
          <w:tcPr>
            <w:tcW w:w="1280" w:type="dxa"/>
            <w:vAlign w:val="bottom"/>
          </w:tcPr>
          <w:p>
            <w:pPr>
              <w:spacing w:after="0"/>
              <w:rPr>
                <w:sz w:val="20"/>
                <w:szCs w:val="20"/>
                <w:color w:val="auto"/>
              </w:rPr>
            </w:pPr>
            <w:r>
              <w:rPr>
                <w:rFonts w:ascii="Courier New" w:cs="Courier New" w:eastAsia="Courier New" w:hAnsi="Courier New"/>
                <w:sz w:val="15"/>
                <w:szCs w:val="15"/>
                <w:color w:val="auto"/>
              </w:rPr>
              <w:t>*10(b)(2)</w:t>
            </w:r>
          </w:p>
        </w:tc>
        <w:tc>
          <w:tcPr>
            <w:tcW w:w="5720" w:type="dxa"/>
            <w:vAlign w:val="bottom"/>
          </w:tcPr>
          <w:p>
            <w:pPr>
              <w:ind w:left="120"/>
              <w:spacing w:after="0"/>
              <w:rPr>
                <w:sz w:val="20"/>
                <w:szCs w:val="20"/>
                <w:color w:val="auto"/>
              </w:rPr>
            </w:pPr>
            <w:r>
              <w:rPr>
                <w:rFonts w:ascii="Courier New" w:cs="Courier New" w:eastAsia="Courier New" w:hAnsi="Courier New"/>
                <w:sz w:val="15"/>
                <w:szCs w:val="15"/>
                <w:color w:val="auto"/>
                <w:w w:val="98"/>
              </w:rPr>
              <w:t>Gentex Corporation 1987 Incentive Stock Option Plan (as amended</w:t>
            </w:r>
          </w:p>
        </w:tc>
        <w:tc>
          <w:tcPr>
            <w:tcW w:w="700" w:type="dxa"/>
            <w:vAlign w:val="bottom"/>
          </w:tcPr>
          <w:p>
            <w:pPr>
              <w:spacing w:after="0"/>
              <w:rPr>
                <w:sz w:val="24"/>
                <w:szCs w:val="24"/>
                <w:color w:val="auto"/>
              </w:rPr>
            </w:pPr>
          </w:p>
        </w:tc>
      </w:tr>
      <w:tr>
        <w:trPr>
          <w:trHeight w:val="168"/>
        </w:trPr>
        <w:tc>
          <w:tcPr>
            <w:tcW w:w="1280" w:type="dxa"/>
            <w:vAlign w:val="bottom"/>
          </w:tcPr>
          <w:p>
            <w:pPr>
              <w:spacing w:after="0"/>
              <w:rPr>
                <w:sz w:val="14"/>
                <w:szCs w:val="14"/>
                <w:color w:val="auto"/>
              </w:rPr>
            </w:pPr>
          </w:p>
        </w:tc>
        <w:tc>
          <w:tcPr>
            <w:tcW w:w="642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through May 24, 1989), was filed as Exhibit 10(g)(3) to Registrant's</w:t>
            </w:r>
          </w:p>
        </w:tc>
      </w:tr>
    </w:tbl>
    <w:p>
      <w:pPr>
        <w:spacing w:after="0" w:line="5" w:lineRule="exact"/>
        <w:rPr>
          <w:sz w:val="20"/>
          <w:szCs w:val="20"/>
          <w:color w:val="auto"/>
        </w:rPr>
      </w:pPr>
    </w:p>
    <w:p>
      <w:pPr>
        <w:ind w:left="1400" w:right="3319"/>
        <w:spacing w:after="0" w:line="234" w:lineRule="auto"/>
        <w:rPr>
          <w:sz w:val="20"/>
          <w:szCs w:val="20"/>
          <w:color w:val="auto"/>
        </w:rPr>
      </w:pPr>
      <w:r>
        <w:rPr>
          <w:rFonts w:ascii="Courier New" w:cs="Courier New" w:eastAsia="Courier New" w:hAnsi="Courier New"/>
          <w:sz w:val="15"/>
          <w:szCs w:val="15"/>
          <w:color w:val="auto"/>
        </w:rPr>
        <w:t>Report on Form 10-K dated March 1, 1990, and the same is hereby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39"/>
          </w:cols>
          <w:pgMar w:left="220" w:top="281" w:right="1440" w:bottom="1440" w:gutter="0" w:footer="0" w:header="0"/>
        </w:sectPr>
      </w:pPr>
    </w:p>
    <w:bookmarkStart w:id="35" w:name="page36"/>
    <w:bookmarkEnd w:id="35"/>
    <w:p>
      <w:pPr>
        <w:ind w:left="280"/>
        <w:spacing w:after="0"/>
        <w:rPr>
          <w:sz w:val="20"/>
          <w:szCs w:val="20"/>
          <w:color w:val="auto"/>
        </w:rPr>
      </w:pPr>
      <w:r>
        <w:rPr>
          <w:rFonts w:ascii="Courier New" w:cs="Courier New" w:eastAsia="Courier New" w:hAnsi="Courier New"/>
          <w:sz w:val="15"/>
          <w:szCs w:val="15"/>
          <w:color w:val="auto"/>
        </w:rPr>
        <w:t>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40" w:type="dxa"/>
            <w:vAlign w:val="bottom"/>
          </w:tcPr>
          <w:p>
            <w:pPr>
              <w:spacing w:after="0"/>
              <w:rPr>
                <w:sz w:val="20"/>
                <w:szCs w:val="20"/>
                <w:color w:val="auto"/>
              </w:rPr>
            </w:pPr>
            <w:r>
              <w:rPr>
                <w:rFonts w:ascii="Courier New" w:cs="Courier New" w:eastAsia="Courier New" w:hAnsi="Courier New"/>
                <w:sz w:val="15"/>
                <w:szCs w:val="15"/>
                <w:color w:val="auto"/>
              </w:rPr>
              <w:t>EXHIBIT NO.</w:t>
            </w:r>
          </w:p>
        </w:tc>
        <w:tc>
          <w:tcPr>
            <w:tcW w:w="5980" w:type="dxa"/>
            <w:vAlign w:val="bottom"/>
          </w:tcPr>
          <w:p>
            <w:pPr>
              <w:ind w:left="1560"/>
              <w:spacing w:after="0"/>
              <w:rPr>
                <w:sz w:val="20"/>
                <w:szCs w:val="20"/>
                <w:color w:val="auto"/>
              </w:rPr>
            </w:pPr>
            <w:r>
              <w:rPr>
                <w:rFonts w:ascii="Courier New" w:cs="Courier New" w:eastAsia="Courier New" w:hAnsi="Courier New"/>
                <w:sz w:val="15"/>
                <w:szCs w:val="15"/>
                <w:color w:val="auto"/>
              </w:rPr>
              <w:t>DESCRIPTION</w:t>
            </w: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PAGE</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5980" w:type="dxa"/>
            <w:vAlign w:val="bottom"/>
          </w:tcPr>
          <w:p>
            <w:pPr>
              <w:ind w:left="1740"/>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1240" w:type="dxa"/>
            <w:vAlign w:val="bottom"/>
          </w:tcPr>
          <w:p>
            <w:pPr>
              <w:spacing w:after="0"/>
              <w:rPr>
                <w:sz w:val="20"/>
                <w:szCs w:val="20"/>
                <w:color w:val="auto"/>
              </w:rPr>
            </w:pPr>
            <w:r>
              <w:rPr>
                <w:rFonts w:ascii="Courier New" w:cs="Courier New" w:eastAsia="Courier New" w:hAnsi="Courier New"/>
                <w:sz w:val="15"/>
                <w:szCs w:val="15"/>
                <w:color w:val="auto"/>
              </w:rPr>
              <w:t>*10(b)(3)</w:t>
            </w:r>
          </w:p>
        </w:tc>
        <w:tc>
          <w:tcPr>
            <w:tcW w:w="5980" w:type="dxa"/>
            <w:vAlign w:val="bottom"/>
          </w:tcPr>
          <w:p>
            <w:pPr>
              <w:ind w:left="80"/>
              <w:spacing w:after="0"/>
              <w:rPr>
                <w:sz w:val="20"/>
                <w:szCs w:val="20"/>
                <w:color w:val="auto"/>
              </w:rPr>
            </w:pPr>
            <w:r>
              <w:rPr>
                <w:rFonts w:ascii="Courier New" w:cs="Courier New" w:eastAsia="Courier New" w:hAnsi="Courier New"/>
                <w:sz w:val="15"/>
                <w:szCs w:val="15"/>
                <w:color w:val="auto"/>
              </w:rPr>
              <w:t>Gentex Corporation Restricted Stock Plan was filed as Exhibit</w:t>
            </w:r>
          </w:p>
        </w:tc>
        <w:tc>
          <w:tcPr>
            <w:tcW w:w="660" w:type="dxa"/>
            <w:vAlign w:val="bottom"/>
          </w:tcPr>
          <w:p>
            <w:pPr>
              <w:spacing w:after="0"/>
              <w:rPr>
                <w:sz w:val="24"/>
                <w:szCs w:val="24"/>
                <w:color w:val="auto"/>
              </w:rPr>
            </w:pPr>
          </w:p>
        </w:tc>
      </w:tr>
      <w:tr>
        <w:trPr>
          <w:trHeight w:val="168"/>
        </w:trPr>
        <w:tc>
          <w:tcPr>
            <w:tcW w:w="1240" w:type="dxa"/>
            <w:vAlign w:val="bottom"/>
          </w:tcPr>
          <w:p>
            <w:pPr>
              <w:spacing w:after="0"/>
              <w:rPr>
                <w:sz w:val="14"/>
                <w:szCs w:val="14"/>
                <w:color w:val="auto"/>
              </w:rPr>
            </w:pPr>
          </w:p>
        </w:tc>
        <w:tc>
          <w:tcPr>
            <w:tcW w:w="59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10(b)(3) to Registrant's Report on Form 10-K dated March 10,</w:t>
            </w:r>
          </w:p>
        </w:tc>
        <w:tc>
          <w:tcPr>
            <w:tcW w:w="660" w:type="dxa"/>
            <w:vAlign w:val="bottom"/>
          </w:tcPr>
          <w:p>
            <w:pPr>
              <w:spacing w:after="0"/>
              <w:rPr>
                <w:sz w:val="14"/>
                <w:szCs w:val="14"/>
                <w:color w:val="auto"/>
              </w:rPr>
            </w:pPr>
          </w:p>
        </w:tc>
      </w:tr>
      <w:tr>
        <w:trPr>
          <w:trHeight w:val="168"/>
        </w:trPr>
        <w:tc>
          <w:tcPr>
            <w:tcW w:w="1240" w:type="dxa"/>
            <w:vAlign w:val="bottom"/>
          </w:tcPr>
          <w:p>
            <w:pPr>
              <w:spacing w:after="0"/>
              <w:rPr>
                <w:sz w:val="14"/>
                <w:szCs w:val="14"/>
                <w:color w:val="auto"/>
              </w:rPr>
            </w:pPr>
          </w:p>
        </w:tc>
        <w:tc>
          <w:tcPr>
            <w:tcW w:w="59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1992, and the same is hereby incorporated herein by reference.</w:t>
            </w:r>
          </w:p>
        </w:tc>
        <w:tc>
          <w:tcPr>
            <w:tcW w:w="660" w:type="dxa"/>
            <w:vAlign w:val="bottom"/>
          </w:tcPr>
          <w:p>
            <w:pPr>
              <w:spacing w:after="0"/>
              <w:rPr>
                <w:sz w:val="14"/>
                <w:szCs w:val="14"/>
                <w:color w:val="auto"/>
              </w:rPr>
            </w:pPr>
          </w:p>
        </w:tc>
      </w:tr>
      <w:tr>
        <w:trPr>
          <w:trHeight w:val="336"/>
        </w:trPr>
        <w:tc>
          <w:tcPr>
            <w:tcW w:w="1240" w:type="dxa"/>
            <w:vAlign w:val="bottom"/>
          </w:tcPr>
          <w:p>
            <w:pPr>
              <w:spacing w:after="0"/>
              <w:rPr>
                <w:sz w:val="20"/>
                <w:szCs w:val="20"/>
                <w:color w:val="auto"/>
              </w:rPr>
            </w:pPr>
            <w:r>
              <w:rPr>
                <w:rFonts w:ascii="Courier New" w:cs="Courier New" w:eastAsia="Courier New" w:hAnsi="Courier New"/>
                <w:sz w:val="15"/>
                <w:szCs w:val="15"/>
                <w:color w:val="auto"/>
              </w:rPr>
              <w:t>*10(b)(4)</w:t>
            </w:r>
          </w:p>
        </w:tc>
        <w:tc>
          <w:tcPr>
            <w:tcW w:w="5980" w:type="dxa"/>
            <w:vAlign w:val="bottom"/>
          </w:tcPr>
          <w:p>
            <w:pPr>
              <w:ind w:left="80"/>
              <w:spacing w:after="0"/>
              <w:rPr>
                <w:sz w:val="20"/>
                <w:szCs w:val="20"/>
                <w:color w:val="auto"/>
              </w:rPr>
            </w:pPr>
            <w:r>
              <w:rPr>
                <w:rFonts w:ascii="Courier New" w:cs="Courier New" w:eastAsia="Courier New" w:hAnsi="Courier New"/>
                <w:sz w:val="15"/>
                <w:szCs w:val="15"/>
                <w:color w:val="auto"/>
              </w:rPr>
              <w:t>Gentex Corporation Non-Employee Director Stock Option Plan (as</w:t>
            </w:r>
          </w:p>
        </w:tc>
        <w:tc>
          <w:tcPr>
            <w:tcW w:w="660" w:type="dxa"/>
            <w:vAlign w:val="bottom"/>
          </w:tcPr>
          <w:p>
            <w:pPr>
              <w:spacing w:after="0"/>
              <w:rPr>
                <w:sz w:val="24"/>
                <w:szCs w:val="24"/>
                <w:color w:val="auto"/>
              </w:rPr>
            </w:pPr>
          </w:p>
        </w:tc>
      </w:tr>
      <w:tr>
        <w:trPr>
          <w:trHeight w:val="168"/>
        </w:trPr>
        <w:tc>
          <w:tcPr>
            <w:tcW w:w="1240" w:type="dxa"/>
            <w:vAlign w:val="bottom"/>
          </w:tcPr>
          <w:p>
            <w:pPr>
              <w:spacing w:after="0"/>
              <w:rPr>
                <w:sz w:val="14"/>
                <w:szCs w:val="14"/>
                <w:color w:val="auto"/>
              </w:rPr>
            </w:pPr>
          </w:p>
        </w:tc>
        <w:tc>
          <w:tcPr>
            <w:tcW w:w="59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amended and restated, effective March 7, 1997) was filed as</w:t>
            </w:r>
          </w:p>
        </w:tc>
        <w:tc>
          <w:tcPr>
            <w:tcW w:w="660" w:type="dxa"/>
            <w:vAlign w:val="bottom"/>
          </w:tcPr>
          <w:p>
            <w:pPr>
              <w:spacing w:after="0"/>
              <w:rPr>
                <w:sz w:val="14"/>
                <w:szCs w:val="14"/>
                <w:color w:val="auto"/>
              </w:rPr>
            </w:pPr>
          </w:p>
        </w:tc>
      </w:tr>
      <w:tr>
        <w:trPr>
          <w:trHeight w:val="168"/>
        </w:trPr>
        <w:tc>
          <w:tcPr>
            <w:tcW w:w="1240" w:type="dxa"/>
            <w:vAlign w:val="bottom"/>
          </w:tcPr>
          <w:p>
            <w:pPr>
              <w:spacing w:after="0"/>
              <w:rPr>
                <w:sz w:val="14"/>
                <w:szCs w:val="14"/>
                <w:color w:val="auto"/>
              </w:rPr>
            </w:pPr>
          </w:p>
        </w:tc>
        <w:tc>
          <w:tcPr>
            <w:tcW w:w="59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Exhibit 10(b)(4) to Registrant's Report on Form 10-K dated March</w:t>
            </w:r>
          </w:p>
        </w:tc>
        <w:tc>
          <w:tcPr>
            <w:tcW w:w="660" w:type="dxa"/>
            <w:vAlign w:val="bottom"/>
          </w:tcPr>
          <w:p>
            <w:pPr>
              <w:spacing w:after="0"/>
              <w:rPr>
                <w:sz w:val="14"/>
                <w:szCs w:val="14"/>
                <w:color w:val="auto"/>
              </w:rPr>
            </w:pPr>
          </w:p>
        </w:tc>
      </w:tr>
      <w:tr>
        <w:trPr>
          <w:trHeight w:val="168"/>
        </w:trPr>
        <w:tc>
          <w:tcPr>
            <w:tcW w:w="1240" w:type="dxa"/>
            <w:vAlign w:val="bottom"/>
          </w:tcPr>
          <w:p>
            <w:pPr>
              <w:spacing w:after="0"/>
              <w:rPr>
                <w:sz w:val="14"/>
                <w:szCs w:val="14"/>
                <w:color w:val="auto"/>
              </w:rPr>
            </w:pPr>
          </w:p>
        </w:tc>
        <w:tc>
          <w:tcPr>
            <w:tcW w:w="59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7, 1997, and the same is hereby incorporated herein by</w:t>
            </w:r>
          </w:p>
        </w:tc>
        <w:tc>
          <w:tcPr>
            <w:tcW w:w="660" w:type="dxa"/>
            <w:vAlign w:val="bottom"/>
          </w:tcPr>
          <w:p>
            <w:pPr>
              <w:spacing w:after="0"/>
              <w:rPr>
                <w:sz w:val="14"/>
                <w:szCs w:val="14"/>
                <w:color w:val="auto"/>
              </w:rPr>
            </w:pPr>
          </w:p>
        </w:tc>
      </w:tr>
      <w:tr>
        <w:trPr>
          <w:trHeight w:val="168"/>
        </w:trPr>
        <w:tc>
          <w:tcPr>
            <w:tcW w:w="1240" w:type="dxa"/>
            <w:vAlign w:val="bottom"/>
          </w:tcPr>
          <w:p>
            <w:pPr>
              <w:spacing w:after="0"/>
              <w:rPr>
                <w:sz w:val="14"/>
                <w:szCs w:val="14"/>
                <w:color w:val="auto"/>
              </w:rPr>
            </w:pPr>
          </w:p>
        </w:tc>
        <w:tc>
          <w:tcPr>
            <w:tcW w:w="59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reference.</w:t>
            </w:r>
          </w:p>
        </w:tc>
        <w:tc>
          <w:tcPr>
            <w:tcW w:w="660" w:type="dxa"/>
            <w:vAlign w:val="bottom"/>
          </w:tcPr>
          <w:p>
            <w:pPr>
              <w:spacing w:after="0"/>
              <w:rPr>
                <w:sz w:val="14"/>
                <w:szCs w:val="14"/>
                <w:color w:val="auto"/>
              </w:rPr>
            </w:pPr>
          </w:p>
        </w:tc>
      </w:tr>
      <w:tr>
        <w:trPr>
          <w:trHeight w:val="336"/>
        </w:trPr>
        <w:tc>
          <w:tcPr>
            <w:tcW w:w="1240" w:type="dxa"/>
            <w:vAlign w:val="bottom"/>
          </w:tcPr>
          <w:p>
            <w:pPr>
              <w:spacing w:after="0"/>
              <w:rPr>
                <w:sz w:val="20"/>
                <w:szCs w:val="20"/>
                <w:color w:val="auto"/>
              </w:rPr>
            </w:pPr>
            <w:r>
              <w:rPr>
                <w:rFonts w:ascii="Courier New" w:cs="Courier New" w:eastAsia="Courier New" w:hAnsi="Courier New"/>
                <w:sz w:val="15"/>
                <w:szCs w:val="15"/>
                <w:color w:val="auto"/>
              </w:rPr>
              <w:t>10(e)</w:t>
            </w:r>
          </w:p>
        </w:tc>
        <w:tc>
          <w:tcPr>
            <w:tcW w:w="5980" w:type="dxa"/>
            <w:vAlign w:val="bottom"/>
          </w:tcPr>
          <w:p>
            <w:pPr>
              <w:ind w:left="80"/>
              <w:spacing w:after="0"/>
              <w:rPr>
                <w:sz w:val="20"/>
                <w:szCs w:val="20"/>
                <w:color w:val="auto"/>
              </w:rPr>
            </w:pPr>
            <w:r>
              <w:rPr>
                <w:rFonts w:ascii="Courier New" w:cs="Courier New" w:eastAsia="Courier New" w:hAnsi="Courier New"/>
                <w:sz w:val="15"/>
                <w:szCs w:val="15"/>
                <w:color w:val="auto"/>
              </w:rPr>
              <w:t>The form of Indemnity Agreement between Registrant and each of</w:t>
            </w:r>
          </w:p>
        </w:tc>
        <w:tc>
          <w:tcPr>
            <w:tcW w:w="660" w:type="dxa"/>
            <w:vAlign w:val="bottom"/>
          </w:tcPr>
          <w:p>
            <w:pPr>
              <w:spacing w:after="0"/>
              <w:rPr>
                <w:sz w:val="24"/>
                <w:szCs w:val="24"/>
                <w:color w:val="auto"/>
              </w:rPr>
            </w:pPr>
          </w:p>
        </w:tc>
      </w:tr>
      <w:tr>
        <w:trPr>
          <w:trHeight w:val="168"/>
        </w:trPr>
        <w:tc>
          <w:tcPr>
            <w:tcW w:w="1240" w:type="dxa"/>
            <w:vAlign w:val="bottom"/>
          </w:tcPr>
          <w:p>
            <w:pPr>
              <w:spacing w:after="0"/>
              <w:rPr>
                <w:sz w:val="14"/>
                <w:szCs w:val="14"/>
                <w:color w:val="auto"/>
              </w:rPr>
            </w:pPr>
          </w:p>
        </w:tc>
        <w:tc>
          <w:tcPr>
            <w:tcW w:w="59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the Registrant's directors was filed as a part of a Registration</w:t>
            </w:r>
          </w:p>
        </w:tc>
        <w:tc>
          <w:tcPr>
            <w:tcW w:w="660" w:type="dxa"/>
            <w:vAlign w:val="bottom"/>
          </w:tcPr>
          <w:p>
            <w:pPr>
              <w:spacing w:after="0"/>
              <w:rPr>
                <w:sz w:val="14"/>
                <w:szCs w:val="14"/>
                <w:color w:val="auto"/>
              </w:rPr>
            </w:pPr>
          </w:p>
        </w:tc>
      </w:tr>
      <w:tr>
        <w:trPr>
          <w:trHeight w:val="168"/>
        </w:trPr>
        <w:tc>
          <w:tcPr>
            <w:tcW w:w="1240" w:type="dxa"/>
            <w:vAlign w:val="bottom"/>
          </w:tcPr>
          <w:p>
            <w:pPr>
              <w:spacing w:after="0"/>
              <w:rPr>
                <w:sz w:val="14"/>
                <w:szCs w:val="14"/>
                <w:color w:val="auto"/>
              </w:rPr>
            </w:pPr>
          </w:p>
        </w:tc>
        <w:tc>
          <w:tcPr>
            <w:tcW w:w="59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8"/>
              </w:rPr>
              <w:t>Statement on Form S-2 (Registration No. 33-30353) as Exhibit 10(k)</w:t>
            </w:r>
          </w:p>
        </w:tc>
        <w:tc>
          <w:tcPr>
            <w:tcW w:w="660" w:type="dxa"/>
            <w:vAlign w:val="bottom"/>
          </w:tcPr>
          <w:p>
            <w:pPr>
              <w:spacing w:after="0"/>
              <w:rPr>
                <w:sz w:val="14"/>
                <w:szCs w:val="14"/>
                <w:color w:val="auto"/>
              </w:rPr>
            </w:pPr>
          </w:p>
        </w:tc>
      </w:tr>
      <w:tr>
        <w:trPr>
          <w:trHeight w:val="168"/>
        </w:trPr>
        <w:tc>
          <w:tcPr>
            <w:tcW w:w="1240" w:type="dxa"/>
            <w:vAlign w:val="bottom"/>
          </w:tcPr>
          <w:p>
            <w:pPr>
              <w:spacing w:after="0"/>
              <w:rPr>
                <w:sz w:val="14"/>
                <w:szCs w:val="14"/>
                <w:color w:val="auto"/>
              </w:rPr>
            </w:pPr>
          </w:p>
        </w:tc>
        <w:tc>
          <w:tcPr>
            <w:tcW w:w="59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and the same is hereby incorporated herein by reference.</w:t>
            </w:r>
          </w:p>
        </w:tc>
        <w:tc>
          <w:tcPr>
            <w:tcW w:w="660" w:type="dxa"/>
            <w:vAlign w:val="bottom"/>
          </w:tcPr>
          <w:p>
            <w:pPr>
              <w:spacing w:after="0"/>
              <w:rPr>
                <w:sz w:val="14"/>
                <w:szCs w:val="14"/>
                <w:color w:val="auto"/>
              </w:rPr>
            </w:pPr>
          </w:p>
        </w:tc>
      </w:tr>
      <w:tr>
        <w:trPr>
          <w:trHeight w:val="336"/>
        </w:trPr>
        <w:tc>
          <w:tcPr>
            <w:tcW w:w="1240" w:type="dxa"/>
            <w:vAlign w:val="bottom"/>
          </w:tcPr>
          <w:p>
            <w:pPr>
              <w:spacing w:after="0"/>
              <w:rPr>
                <w:sz w:val="20"/>
                <w:szCs w:val="20"/>
                <w:color w:val="auto"/>
              </w:rPr>
            </w:pPr>
            <w:r>
              <w:rPr>
                <w:rFonts w:ascii="Courier New" w:cs="Courier New" w:eastAsia="Courier New" w:hAnsi="Courier New"/>
                <w:sz w:val="15"/>
                <w:szCs w:val="15"/>
                <w:color w:val="auto"/>
              </w:rPr>
              <w:t>21</w:t>
            </w:r>
          </w:p>
        </w:tc>
        <w:tc>
          <w:tcPr>
            <w:tcW w:w="5980" w:type="dxa"/>
            <w:vAlign w:val="bottom"/>
          </w:tcPr>
          <w:p>
            <w:pPr>
              <w:ind w:left="80"/>
              <w:spacing w:after="0"/>
              <w:rPr>
                <w:sz w:val="20"/>
                <w:szCs w:val="20"/>
                <w:color w:val="auto"/>
              </w:rPr>
            </w:pPr>
            <w:r>
              <w:rPr>
                <w:rFonts w:ascii="Courier New" w:cs="Courier New" w:eastAsia="Courier New" w:hAnsi="Courier New"/>
                <w:sz w:val="15"/>
                <w:szCs w:val="15"/>
                <w:color w:val="auto"/>
              </w:rPr>
              <w:t>List of Company Subsidiaries</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33</w:t>
            </w:r>
          </w:p>
        </w:tc>
      </w:tr>
      <w:tr>
        <w:trPr>
          <w:trHeight w:val="336"/>
        </w:trPr>
        <w:tc>
          <w:tcPr>
            <w:tcW w:w="1240" w:type="dxa"/>
            <w:vAlign w:val="bottom"/>
          </w:tcPr>
          <w:p>
            <w:pPr>
              <w:spacing w:after="0"/>
              <w:rPr>
                <w:sz w:val="20"/>
                <w:szCs w:val="20"/>
                <w:color w:val="auto"/>
              </w:rPr>
            </w:pPr>
            <w:r>
              <w:rPr>
                <w:rFonts w:ascii="Courier New" w:cs="Courier New" w:eastAsia="Courier New" w:hAnsi="Courier New"/>
                <w:sz w:val="15"/>
                <w:szCs w:val="15"/>
                <w:color w:val="auto"/>
              </w:rPr>
              <w:t>23</w:t>
            </w:r>
          </w:p>
        </w:tc>
        <w:tc>
          <w:tcPr>
            <w:tcW w:w="5980" w:type="dxa"/>
            <w:vAlign w:val="bottom"/>
          </w:tcPr>
          <w:p>
            <w:pPr>
              <w:ind w:left="80"/>
              <w:spacing w:after="0"/>
              <w:rPr>
                <w:sz w:val="20"/>
                <w:szCs w:val="20"/>
                <w:color w:val="auto"/>
              </w:rPr>
            </w:pPr>
            <w:r>
              <w:rPr>
                <w:rFonts w:ascii="Courier New" w:cs="Courier New" w:eastAsia="Courier New" w:hAnsi="Courier New"/>
                <w:sz w:val="15"/>
                <w:szCs w:val="15"/>
                <w:color w:val="auto"/>
              </w:rPr>
              <w:t>Consent of Independent Public Accountants</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34</w:t>
            </w:r>
          </w:p>
        </w:tc>
      </w:tr>
    </w:tbl>
    <w:p>
      <w:pPr>
        <w:spacing w:after="0" w:line="166" w:lineRule="exact"/>
        <w:rPr>
          <w:sz w:val="20"/>
          <w:szCs w:val="20"/>
          <w:color w:val="auto"/>
        </w:rPr>
      </w:pPr>
    </w:p>
    <w:p>
      <w:pPr>
        <w:ind w:left="1320" w:hanging="1310"/>
        <w:spacing w:after="0"/>
        <w:tabs>
          <w:tab w:leader="none" w:pos="13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Data Schedule</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39"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*Indicates a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39"/>
          </w:cols>
          <w:pgMar w:left="220" w:top="281" w:right="1440" w:bottom="1440" w:gutter="0" w:footer="0" w:header="0"/>
        </w:sectPr>
      </w:pPr>
    </w:p>
    <w:bookmarkStart w:id="36" w:name="page37"/>
    <w:bookmarkEnd w:id="36"/>
    <w:p>
      <w:pPr>
        <w:spacing w:after="0"/>
        <w:rPr>
          <w:sz w:val="20"/>
          <w:szCs w:val="20"/>
          <w:color w:val="auto"/>
        </w:rPr>
      </w:pPr>
      <w:r>
        <w:rPr>
          <w:rFonts w:ascii="Courier New" w:cs="Courier New" w:eastAsia="Courier New" w:hAnsi="Courier New"/>
          <w:sz w:val="15"/>
          <w:szCs w:val="15"/>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LIST OF GENTEX CORPORATION SUBSIDIARIES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860" w:hanging="431"/>
        <w:spacing w:after="0" w:line="235" w:lineRule="auto"/>
        <w:tabs>
          <w:tab w:leader="none" w:pos="86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E.C. Aviation Services, Inc., a Michigan corporation, is a wholly-owned subsidiary of Gentex Corporation.</w:t>
      </w:r>
    </w:p>
    <w:p>
      <w:pPr>
        <w:spacing w:after="0" w:line="173" w:lineRule="exact"/>
        <w:rPr>
          <w:rFonts w:ascii="Courier New" w:cs="Courier New" w:eastAsia="Courier New" w:hAnsi="Courier New"/>
          <w:sz w:val="15"/>
          <w:szCs w:val="15"/>
          <w:color w:val="auto"/>
        </w:rPr>
      </w:pPr>
    </w:p>
    <w:p>
      <w:pPr>
        <w:ind w:left="860" w:right="260" w:hanging="431"/>
        <w:spacing w:after="0" w:line="258" w:lineRule="auto"/>
        <w:tabs>
          <w:tab w:leader="none" w:pos="86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Gentex International Corporation, a Foreign Sales Corporation incorporated in Barbados, is a wholly-owned subsidiary of Gentex Corporation.</w:t>
      </w:r>
    </w:p>
    <w:p>
      <w:pPr>
        <w:spacing w:after="0" w:line="154" w:lineRule="exact"/>
        <w:rPr>
          <w:rFonts w:ascii="Courier New" w:cs="Courier New" w:eastAsia="Courier New" w:hAnsi="Courier New"/>
          <w:sz w:val="14"/>
          <w:szCs w:val="14"/>
          <w:color w:val="auto"/>
        </w:rPr>
      </w:pPr>
    </w:p>
    <w:p>
      <w:pPr>
        <w:ind w:left="860" w:hanging="431"/>
        <w:spacing w:after="0"/>
        <w:tabs>
          <w:tab w:leader="none" w:pos="86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Gentex Holdings, Inc., a Michigan corporation,</w:t>
      </w:r>
    </w:p>
    <w:p>
      <w:pPr>
        <w:spacing w:after="0" w:line="4" w:lineRule="exact"/>
        <w:rPr>
          <w:rFonts w:ascii="Courier New" w:cs="Courier New" w:eastAsia="Courier New" w:hAnsi="Courier New"/>
          <w:sz w:val="15"/>
          <w:szCs w:val="15"/>
          <w:color w:val="auto"/>
        </w:rPr>
      </w:pPr>
    </w:p>
    <w:p>
      <w:pPr>
        <w:ind w:left="86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is a wholly-owned subsidiary of Gentex Corporation.</w:t>
      </w:r>
    </w:p>
    <w:p>
      <w:pPr>
        <w:spacing w:after="0" w:line="177" w:lineRule="exact"/>
        <w:rPr>
          <w:rFonts w:ascii="Courier New" w:cs="Courier New" w:eastAsia="Courier New" w:hAnsi="Courier New"/>
          <w:sz w:val="15"/>
          <w:szCs w:val="15"/>
          <w:color w:val="auto"/>
        </w:rPr>
      </w:pPr>
    </w:p>
    <w:p>
      <w:pPr>
        <w:ind w:left="860" w:right="80" w:hanging="431"/>
        <w:spacing w:after="0" w:line="235" w:lineRule="auto"/>
        <w:tabs>
          <w:tab w:leader="none" w:pos="86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Gentex GmbH, a German limited liability company, is a subsidiary 50% owned by Gentex Corporation and 50% owned by Gentex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-33-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21</w:t>
      </w:r>
    </w:p>
    <w:p>
      <w:pPr>
        <w:sectPr>
          <w:pgSz w:w="11900" w:h="16838" w:orient="portrait"/>
          <w:cols w:equalWidth="0" w:num="2">
            <w:col w:w="5320" w:space="440"/>
            <w:col w:w="4199"/>
          </w:cols>
          <w:pgMar w:left="500" w:top="135" w:right="1440" w:bottom="1440" w:gutter="0" w:footer="0" w:header="0"/>
        </w:sectPr>
      </w:pPr>
    </w:p>
    <w:bookmarkStart w:id="37" w:name="page38"/>
    <w:bookmarkEnd w:id="37"/>
    <w:p>
      <w:pPr>
        <w:ind w:left="100"/>
        <w:spacing w:after="0"/>
        <w:rPr>
          <w:sz w:val="20"/>
          <w:szCs w:val="20"/>
          <w:color w:val="auto"/>
        </w:rPr>
      </w:pPr>
      <w:r>
        <w:rPr>
          <w:rFonts w:ascii="Courier New" w:cs="Courier New" w:eastAsia="Courier New" w:hAnsi="Courier New"/>
          <w:sz w:val="15"/>
          <w:szCs w:val="15"/>
          <w:color w:val="auto"/>
        </w:rPr>
        <w:t>1</w:t>
      </w:r>
    </w:p>
    <w:p>
      <w:pPr>
        <w:spacing w:after="0" w:line="335" w:lineRule="exact"/>
        <w:rPr>
          <w:sz w:val="20"/>
          <w:szCs w:val="20"/>
          <w:color w:val="auto"/>
        </w:rPr>
      </w:pPr>
    </w:p>
    <w:p>
      <w:pPr>
        <w:jc w:val="right"/>
        <w:ind w:right="3759"/>
        <w:spacing w:after="0"/>
        <w:rPr>
          <w:sz w:val="20"/>
          <w:szCs w:val="20"/>
          <w:color w:val="auto"/>
        </w:rPr>
      </w:pPr>
      <w:r>
        <w:rPr>
          <w:rFonts w:ascii="Courier New" w:cs="Courier New" w:eastAsia="Courier New" w:hAnsi="Courier New"/>
          <w:sz w:val="15"/>
          <w:szCs w:val="15"/>
          <w:color w:val="auto"/>
        </w:rPr>
        <w:t>EXHIBIT 23</w:t>
      </w:r>
    </w:p>
    <w:p>
      <w:pPr>
        <w:spacing w:after="0" w:line="200" w:lineRule="exact"/>
        <w:rPr>
          <w:sz w:val="20"/>
          <w:szCs w:val="20"/>
          <w:color w:val="auto"/>
        </w:rPr>
      </w:pPr>
    </w:p>
    <w:p>
      <w:pPr>
        <w:spacing w:after="0" w:line="303"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CONSENT OF INDEPENDENT PUBLIC ACCOUNTANTS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As independent public accounts, we hereby consent to</w:t>
      </w:r>
    </w:p>
    <w:p>
      <w:pPr>
        <w:ind w:left="700"/>
        <w:spacing w:after="0" w:line="237" w:lineRule="auto"/>
        <w:rPr>
          <w:sz w:val="20"/>
          <w:szCs w:val="20"/>
          <w:color w:val="auto"/>
        </w:rPr>
      </w:pPr>
      <w:r>
        <w:rPr>
          <w:rFonts w:ascii="Courier New" w:cs="Courier New" w:eastAsia="Courier New" w:hAnsi="Courier New"/>
          <w:sz w:val="15"/>
          <w:szCs w:val="15"/>
          <w:color w:val="auto"/>
        </w:rPr>
        <w:t>the incorporation of our report included in this Form</w:t>
      </w:r>
    </w:p>
    <w:p>
      <w:pPr>
        <w:ind w:left="700"/>
        <w:spacing w:after="0" w:line="238" w:lineRule="auto"/>
        <w:rPr>
          <w:sz w:val="20"/>
          <w:szCs w:val="20"/>
          <w:color w:val="auto"/>
        </w:rPr>
      </w:pPr>
      <w:r>
        <w:rPr>
          <w:rFonts w:ascii="Courier New" w:cs="Courier New" w:eastAsia="Courier New" w:hAnsi="Courier New"/>
          <w:sz w:val="15"/>
          <w:szCs w:val="15"/>
          <w:color w:val="auto"/>
        </w:rPr>
        <w:t>10-K, into the Company's previously filed</w:t>
      </w:r>
    </w:p>
    <w:p>
      <w:pPr>
        <w:ind w:left="700"/>
        <w:spacing w:after="0" w:line="237" w:lineRule="auto"/>
        <w:rPr>
          <w:sz w:val="20"/>
          <w:szCs w:val="20"/>
          <w:color w:val="auto"/>
        </w:rPr>
      </w:pPr>
      <w:r>
        <w:rPr>
          <w:rFonts w:ascii="Courier New" w:cs="Courier New" w:eastAsia="Courier New" w:hAnsi="Courier New"/>
          <w:sz w:val="15"/>
          <w:szCs w:val="15"/>
          <w:color w:val="auto"/>
        </w:rPr>
        <w:t>Registration Statement File Nos. 33-31408, 33-50396,</w:t>
      </w:r>
    </w:p>
    <w:p>
      <w:pPr>
        <w:ind w:left="700"/>
        <w:spacing w:after="0" w:line="238" w:lineRule="auto"/>
        <w:rPr>
          <w:sz w:val="20"/>
          <w:szCs w:val="20"/>
          <w:color w:val="auto"/>
        </w:rPr>
      </w:pPr>
      <w:r>
        <w:rPr>
          <w:rFonts w:ascii="Courier New" w:cs="Courier New" w:eastAsia="Courier New" w:hAnsi="Courier New"/>
          <w:sz w:val="15"/>
          <w:szCs w:val="15"/>
          <w:color w:val="auto"/>
        </w:rPr>
        <w:t>33-64504 and 33-65321.</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/s/ Arthur Andersen LLP</w:t>
      </w:r>
    </w:p>
    <w:p>
      <w:pPr>
        <w:spacing w:after="0" w:line="16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ARTHUR ANDERSEN LLP</w:t>
      </w:r>
    </w:p>
    <w:p>
      <w:pPr>
        <w:spacing w:after="0" w:line="200" w:lineRule="exact"/>
        <w:rPr>
          <w:sz w:val="20"/>
          <w:szCs w:val="20"/>
          <w:color w:val="auto"/>
        </w:rPr>
      </w:pPr>
    </w:p>
    <w:p>
      <w:pPr>
        <w:spacing w:after="0" w:line="303"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Grand Rapids, Michigan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11,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059"/>
          </w:cols>
          <w:pgMar w:left="400" w:top="135" w:right="1440" w:bottom="1440" w:gutter="0" w:footer="0" w:header="0"/>
        </w:sectPr>
      </w:pPr>
    </w:p>
    <w:bookmarkStart w:id="38" w:name="page39"/>
    <w:bookmarkEnd w:id="38"/>
    <w:p>
      <w:pPr>
        <w:spacing w:after="0"/>
        <w:rPr>
          <w:sz w:val="20"/>
          <w:szCs w:val="20"/>
          <w:color w:val="auto"/>
        </w:rPr>
      </w:pPr>
      <w:r>
        <w:rPr>
          <w:rFonts w:ascii="Courier New" w:cs="Courier New" w:eastAsia="Courier New" w:hAnsi="Courier New"/>
          <w:sz w:val="15"/>
          <w:szCs w:val="15"/>
          <w:color w:val="auto"/>
        </w:rPr>
        <w:t>5</w:t>
      </w:r>
    </w:p>
    <w:p>
      <w:pPr>
        <w:spacing w:after="0" w:line="335"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12-MOS</w:t>
      </w:r>
    </w:p>
    <w:p>
      <w:pPr>
        <w:ind w:left="2180"/>
        <w:spacing w:after="0" w:line="237" w:lineRule="auto"/>
        <w:rPr>
          <w:sz w:val="20"/>
          <w:szCs w:val="20"/>
          <w:color w:val="auto"/>
        </w:rPr>
      </w:pPr>
      <w:r>
        <w:rPr>
          <w:rFonts w:ascii="Courier New" w:cs="Courier New" w:eastAsia="Courier New" w:hAnsi="Courier New"/>
          <w:sz w:val="15"/>
          <w:szCs w:val="15"/>
          <w:color w:val="auto"/>
        </w:rPr>
        <w:t>DEC-31-1997</w:t>
      </w:r>
    </w:p>
    <w:p>
      <w:pPr>
        <w:ind w:left="2620"/>
        <w:spacing w:after="0" w:line="238" w:lineRule="auto"/>
        <w:rPr>
          <w:sz w:val="20"/>
          <w:szCs w:val="20"/>
          <w:color w:val="auto"/>
        </w:rPr>
      </w:pPr>
      <w:r>
        <w:rPr>
          <w:rFonts w:ascii="Courier New" w:cs="Courier New" w:eastAsia="Courier New" w:hAnsi="Courier New"/>
          <w:sz w:val="15"/>
          <w:szCs w:val="15"/>
          <w:color w:val="auto"/>
        </w:rPr>
        <w:t>DEC-31-1997</w:t>
      </w:r>
    </w:p>
    <w:p>
      <w:pPr>
        <w:ind w:left="3240"/>
        <w:spacing w:after="0" w:line="237" w:lineRule="auto"/>
        <w:rPr>
          <w:sz w:val="20"/>
          <w:szCs w:val="20"/>
          <w:color w:val="auto"/>
        </w:rPr>
      </w:pPr>
      <w:r>
        <w:rPr>
          <w:rFonts w:ascii="Courier New" w:cs="Courier New" w:eastAsia="Courier New" w:hAnsi="Courier New"/>
          <w:sz w:val="15"/>
          <w:szCs w:val="15"/>
          <w:color w:val="auto"/>
        </w:rPr>
        <w:t>26,768,647</w:t>
      </w:r>
    </w:p>
    <w:p>
      <w:pPr>
        <w:ind w:left="2700"/>
        <w:spacing w:after="0" w:line="238" w:lineRule="auto"/>
        <w:rPr>
          <w:sz w:val="20"/>
          <w:szCs w:val="20"/>
          <w:color w:val="auto"/>
        </w:rPr>
      </w:pPr>
      <w:r>
        <w:rPr>
          <w:rFonts w:ascii="Courier New" w:cs="Courier New" w:eastAsia="Courier New" w:hAnsi="Courier New"/>
          <w:sz w:val="15"/>
          <w:szCs w:val="15"/>
          <w:color w:val="auto"/>
        </w:rPr>
        <w:t>14,362,736</w:t>
      </w:r>
    </w:p>
    <w:p>
      <w:pPr>
        <w:ind w:left="2620"/>
        <w:spacing w:after="0" w:line="237" w:lineRule="auto"/>
        <w:rPr>
          <w:sz w:val="20"/>
          <w:szCs w:val="20"/>
          <w:color w:val="auto"/>
        </w:rPr>
      </w:pPr>
      <w:r>
        <w:rPr>
          <w:rFonts w:ascii="Courier New" w:cs="Courier New" w:eastAsia="Courier New" w:hAnsi="Courier New"/>
          <w:sz w:val="15"/>
          <w:szCs w:val="15"/>
          <w:color w:val="auto"/>
        </w:rPr>
        <w:t>24,515,525</w:t>
      </w:r>
    </w:p>
    <w:p>
      <w:pPr>
        <w:ind w:left="3500"/>
        <w:spacing w:after="0" w:line="238" w:lineRule="auto"/>
        <w:rPr>
          <w:sz w:val="20"/>
          <w:szCs w:val="20"/>
          <w:color w:val="auto"/>
        </w:rPr>
      </w:pPr>
      <w:r>
        <w:rPr>
          <w:rFonts w:ascii="Courier New" w:cs="Courier New" w:eastAsia="Courier New" w:hAnsi="Courier New"/>
          <w:sz w:val="15"/>
          <w:szCs w:val="15"/>
          <w:color w:val="auto"/>
        </w:rPr>
        <w:t>0</w:t>
      </w:r>
    </w:p>
    <w:p>
      <w:pPr>
        <w:ind w:left="2880"/>
        <w:spacing w:after="0" w:line="237" w:lineRule="auto"/>
        <w:rPr>
          <w:sz w:val="20"/>
          <w:szCs w:val="20"/>
          <w:color w:val="auto"/>
        </w:rPr>
      </w:pPr>
      <w:r>
        <w:rPr>
          <w:rFonts w:ascii="Courier New" w:cs="Courier New" w:eastAsia="Courier New" w:hAnsi="Courier New"/>
          <w:sz w:val="15"/>
          <w:szCs w:val="15"/>
          <w:color w:val="auto"/>
        </w:rPr>
        <w:t>8,787,689</w:t>
      </w:r>
    </w:p>
    <w:p>
      <w:pPr>
        <w:ind w:left="2360"/>
        <w:spacing w:after="0" w:line="238" w:lineRule="auto"/>
        <w:rPr>
          <w:sz w:val="20"/>
          <w:szCs w:val="20"/>
          <w:color w:val="auto"/>
        </w:rPr>
      </w:pPr>
      <w:r>
        <w:rPr>
          <w:rFonts w:ascii="Courier New" w:cs="Courier New" w:eastAsia="Courier New" w:hAnsi="Courier New"/>
          <w:sz w:val="15"/>
          <w:szCs w:val="15"/>
          <w:color w:val="auto"/>
        </w:rPr>
        <w:t>75,919,436</w:t>
      </w:r>
    </w:p>
    <w:p>
      <w:pPr>
        <w:ind w:left="3240"/>
        <w:spacing w:after="0" w:line="238" w:lineRule="auto"/>
        <w:rPr>
          <w:sz w:val="20"/>
          <w:szCs w:val="20"/>
          <w:color w:val="auto"/>
        </w:rPr>
      </w:pPr>
      <w:r>
        <w:rPr>
          <w:rFonts w:ascii="Courier New" w:cs="Courier New" w:eastAsia="Courier New" w:hAnsi="Courier New"/>
          <w:sz w:val="15"/>
          <w:szCs w:val="15"/>
          <w:color w:val="auto"/>
        </w:rPr>
        <w:t>63,015,604</w:t>
      </w:r>
    </w:p>
    <w:p>
      <w:pPr>
        <w:ind w:left="2360"/>
        <w:spacing w:after="0" w:line="237" w:lineRule="auto"/>
        <w:rPr>
          <w:sz w:val="20"/>
          <w:szCs w:val="20"/>
          <w:color w:val="auto"/>
        </w:rPr>
      </w:pPr>
      <w:r>
        <w:rPr>
          <w:rFonts w:ascii="Courier New" w:cs="Courier New" w:eastAsia="Courier New" w:hAnsi="Courier New"/>
          <w:sz w:val="15"/>
          <w:szCs w:val="15"/>
          <w:color w:val="auto"/>
        </w:rPr>
        <w:t>(20,776,719)</w:t>
      </w:r>
    </w:p>
    <w:p>
      <w:pPr>
        <w:ind w:left="2440"/>
        <w:spacing w:after="0" w:line="238" w:lineRule="auto"/>
        <w:rPr>
          <w:sz w:val="20"/>
          <w:szCs w:val="20"/>
          <w:color w:val="auto"/>
        </w:rPr>
      </w:pPr>
      <w:r>
        <w:rPr>
          <w:rFonts w:ascii="Courier New" w:cs="Courier New" w:eastAsia="Courier New" w:hAnsi="Courier New"/>
          <w:sz w:val="15"/>
          <w:szCs w:val="15"/>
          <w:color w:val="auto"/>
        </w:rPr>
        <w:t>189,782,847</w:t>
      </w:r>
    </w:p>
    <w:p>
      <w:pPr>
        <w:ind w:left="1920"/>
        <w:spacing w:after="0" w:line="237" w:lineRule="auto"/>
        <w:rPr>
          <w:sz w:val="20"/>
          <w:szCs w:val="20"/>
          <w:color w:val="auto"/>
        </w:rPr>
      </w:pPr>
      <w:r>
        <w:rPr>
          <w:rFonts w:ascii="Courier New" w:cs="Courier New" w:eastAsia="Courier New" w:hAnsi="Courier New"/>
          <w:sz w:val="15"/>
          <w:szCs w:val="15"/>
          <w:color w:val="auto"/>
        </w:rPr>
        <w:t>14,591,224</w:t>
      </w:r>
    </w:p>
    <w:p>
      <w:pPr>
        <w:ind w:left="3940"/>
        <w:spacing w:after="0" w:line="238" w:lineRule="auto"/>
        <w:rPr>
          <w:sz w:val="20"/>
          <w:szCs w:val="20"/>
          <w:color w:val="auto"/>
        </w:rPr>
      </w:pPr>
      <w:r>
        <w:rPr>
          <w:rFonts w:ascii="Courier New" w:cs="Courier New" w:eastAsia="Courier New" w:hAnsi="Courier New"/>
          <w:sz w:val="15"/>
          <w:szCs w:val="15"/>
          <w:color w:val="auto"/>
        </w:rPr>
        <w:t>0</w:t>
      </w:r>
    </w:p>
    <w:p>
      <w:pPr>
        <w:ind w:left="2000"/>
        <w:spacing w:after="0" w:line="237" w:lineRule="auto"/>
        <w:rPr>
          <w:sz w:val="20"/>
          <w:szCs w:val="20"/>
          <w:color w:val="auto"/>
        </w:rPr>
      </w:pPr>
      <w:r>
        <w:rPr>
          <w:rFonts w:ascii="Courier New" w:cs="Courier New" w:eastAsia="Courier New" w:hAnsi="Courier New"/>
          <w:sz w:val="15"/>
          <w:szCs w:val="15"/>
          <w:color w:val="auto"/>
        </w:rPr>
        <w:t>2,123,949</w:t>
      </w:r>
    </w:p>
    <w:p>
      <w:pPr>
        <w:ind w:left="3580"/>
        <w:spacing w:after="0" w:line="238" w:lineRule="auto"/>
        <w:rPr>
          <w:sz w:val="20"/>
          <w:szCs w:val="20"/>
          <w:color w:val="auto"/>
        </w:rPr>
      </w:pPr>
      <w:r>
        <w:rPr>
          <w:rFonts w:ascii="Courier New" w:cs="Courier New" w:eastAsia="Courier New" w:hAnsi="Courier New"/>
          <w:sz w:val="15"/>
          <w:szCs w:val="15"/>
          <w:color w:val="auto"/>
        </w:rPr>
        <w:t>0</w:t>
      </w:r>
    </w:p>
    <w:p>
      <w:pPr>
        <w:ind w:left="3840"/>
        <w:spacing w:after="0" w:line="238" w:lineRule="auto"/>
        <w:rPr>
          <w:sz w:val="20"/>
          <w:szCs w:val="20"/>
          <w:color w:val="auto"/>
        </w:rPr>
      </w:pPr>
      <w:r>
        <w:rPr>
          <w:rFonts w:ascii="Courier New" w:cs="Courier New" w:eastAsia="Courier New" w:hAnsi="Courier New"/>
          <w:sz w:val="15"/>
          <w:szCs w:val="15"/>
          <w:color w:val="auto"/>
        </w:rPr>
        <w:t>0</w:t>
      </w:r>
    </w:p>
    <w:p>
      <w:pPr>
        <w:ind w:left="2800"/>
        <w:spacing w:after="0" w:line="237" w:lineRule="auto"/>
        <w:rPr>
          <w:sz w:val="20"/>
          <w:szCs w:val="20"/>
          <w:color w:val="auto"/>
        </w:rPr>
      </w:pPr>
      <w:r>
        <w:rPr>
          <w:rFonts w:ascii="Courier New" w:cs="Courier New" w:eastAsia="Courier New" w:hAnsi="Courier New"/>
          <w:sz w:val="15"/>
          <w:szCs w:val="15"/>
          <w:color w:val="auto"/>
        </w:rPr>
        <w:t>171,081,228</w:t>
      </w:r>
    </w:p>
    <w:p>
      <w:pPr>
        <w:ind w:left="1220"/>
        <w:spacing w:after="0" w:line="238" w:lineRule="auto"/>
        <w:rPr>
          <w:sz w:val="20"/>
          <w:szCs w:val="20"/>
          <w:color w:val="auto"/>
        </w:rPr>
      </w:pPr>
      <w:r>
        <w:rPr>
          <w:rFonts w:ascii="Courier New" w:cs="Courier New" w:eastAsia="Courier New" w:hAnsi="Courier New"/>
          <w:sz w:val="15"/>
          <w:szCs w:val="15"/>
          <w:color w:val="auto"/>
        </w:rPr>
        <w:t>189,782,847</w:t>
      </w:r>
    </w:p>
    <w:p>
      <w:pPr>
        <w:ind w:left="3060"/>
        <w:spacing w:after="0" w:line="237" w:lineRule="auto"/>
        <w:rPr>
          <w:sz w:val="20"/>
          <w:szCs w:val="20"/>
          <w:color w:val="auto"/>
        </w:rPr>
      </w:pPr>
      <w:r>
        <w:rPr>
          <w:rFonts w:ascii="Courier New" w:cs="Courier New" w:eastAsia="Courier New" w:hAnsi="Courier New"/>
          <w:sz w:val="15"/>
          <w:szCs w:val="15"/>
          <w:color w:val="auto"/>
        </w:rPr>
        <w:t>186,327,877</w:t>
      </w:r>
    </w:p>
    <w:p>
      <w:pPr>
        <w:ind w:left="2280"/>
        <w:spacing w:after="0" w:line="238" w:lineRule="auto"/>
        <w:rPr>
          <w:sz w:val="20"/>
          <w:szCs w:val="20"/>
          <w:color w:val="auto"/>
        </w:rPr>
      </w:pPr>
      <w:r>
        <w:rPr>
          <w:rFonts w:ascii="Courier New" w:cs="Courier New" w:eastAsia="Courier New" w:hAnsi="Courier New"/>
          <w:sz w:val="15"/>
          <w:szCs w:val="15"/>
          <w:color w:val="auto"/>
        </w:rPr>
        <w:t>186,327,877</w:t>
      </w:r>
    </w:p>
    <w:p>
      <w:pPr>
        <w:jc w:val="right"/>
        <w:ind w:right="5939"/>
        <w:spacing w:after="0" w:line="237" w:lineRule="auto"/>
        <w:rPr>
          <w:sz w:val="20"/>
          <w:szCs w:val="20"/>
          <w:color w:val="auto"/>
        </w:rPr>
      </w:pPr>
      <w:r>
        <w:rPr>
          <w:rFonts w:ascii="Courier New" w:cs="Courier New" w:eastAsia="Courier New" w:hAnsi="Courier New"/>
          <w:sz w:val="15"/>
          <w:szCs w:val="15"/>
          <w:color w:val="auto"/>
        </w:rPr>
        <w:t>118,941,030</w:t>
      </w:r>
    </w:p>
    <w:p>
      <w:pPr>
        <w:ind w:left="2540"/>
        <w:spacing w:after="0" w:line="238" w:lineRule="auto"/>
        <w:rPr>
          <w:sz w:val="20"/>
          <w:szCs w:val="20"/>
          <w:color w:val="auto"/>
        </w:rPr>
      </w:pPr>
      <w:r>
        <w:rPr>
          <w:rFonts w:ascii="Courier New" w:cs="Courier New" w:eastAsia="Courier New" w:hAnsi="Courier New"/>
          <w:sz w:val="15"/>
          <w:szCs w:val="15"/>
          <w:color w:val="auto"/>
        </w:rPr>
        <w:t>118,941,030</w:t>
      </w:r>
    </w:p>
    <w:p>
      <w:pPr>
        <w:ind w:left="2280"/>
        <w:spacing w:after="0" w:line="238" w:lineRule="auto"/>
        <w:rPr>
          <w:sz w:val="20"/>
          <w:szCs w:val="20"/>
          <w:color w:val="auto"/>
        </w:rPr>
      </w:pPr>
      <w:r>
        <w:rPr>
          <w:rFonts w:ascii="Courier New" w:cs="Courier New" w:eastAsia="Courier New" w:hAnsi="Courier New"/>
          <w:sz w:val="15"/>
          <w:szCs w:val="15"/>
          <w:color w:val="auto"/>
        </w:rPr>
        <w:t>(4,707,238)</w:t>
      </w:r>
    </w:p>
    <w:p>
      <w:pPr>
        <w:ind w:left="3140"/>
        <w:spacing w:after="0" w:line="237" w:lineRule="auto"/>
        <w:rPr>
          <w:sz w:val="20"/>
          <w:szCs w:val="20"/>
          <w:color w:val="auto"/>
        </w:rPr>
      </w:pPr>
      <w:r>
        <w:rPr>
          <w:rFonts w:ascii="Courier New" w:cs="Courier New" w:eastAsia="Courier New" w:hAnsi="Courier New"/>
          <w:sz w:val="15"/>
          <w:szCs w:val="15"/>
          <w:color w:val="auto"/>
        </w:rPr>
        <w:t>0</w:t>
      </w:r>
    </w:p>
    <w:p>
      <w:pPr>
        <w:ind w:left="2980"/>
        <w:spacing w:after="0" w:line="238" w:lineRule="auto"/>
        <w:rPr>
          <w:sz w:val="20"/>
          <w:szCs w:val="20"/>
          <w:color w:val="auto"/>
        </w:rPr>
      </w:pPr>
      <w:r>
        <w:rPr>
          <w:rFonts w:ascii="Courier New" w:cs="Courier New" w:eastAsia="Courier New" w:hAnsi="Courier New"/>
          <w:sz w:val="15"/>
          <w:szCs w:val="15"/>
          <w:color w:val="auto"/>
        </w:rPr>
        <w:t>0</w:t>
      </w:r>
    </w:p>
    <w:p>
      <w:pPr>
        <w:ind w:left="2440"/>
        <w:spacing w:after="0" w:line="237" w:lineRule="auto"/>
        <w:rPr>
          <w:sz w:val="20"/>
          <w:szCs w:val="20"/>
          <w:color w:val="auto"/>
        </w:rPr>
      </w:pPr>
      <w:r>
        <w:rPr>
          <w:rFonts w:ascii="Courier New" w:cs="Courier New" w:eastAsia="Courier New" w:hAnsi="Courier New"/>
          <w:sz w:val="15"/>
          <w:szCs w:val="15"/>
          <w:color w:val="auto"/>
        </w:rPr>
        <w:t>52,189,224</w:t>
      </w:r>
    </w:p>
    <w:p>
      <w:pPr>
        <w:ind w:left="2700"/>
        <w:spacing w:after="0" w:line="238" w:lineRule="auto"/>
        <w:rPr>
          <w:sz w:val="20"/>
          <w:szCs w:val="20"/>
          <w:color w:val="auto"/>
        </w:rPr>
      </w:pPr>
      <w:r>
        <w:rPr>
          <w:rFonts w:ascii="Courier New" w:cs="Courier New" w:eastAsia="Courier New" w:hAnsi="Courier New"/>
          <w:sz w:val="15"/>
          <w:szCs w:val="15"/>
          <w:color w:val="auto"/>
        </w:rPr>
        <w:t>16,959,000</w:t>
      </w:r>
    </w:p>
    <w:p>
      <w:pPr>
        <w:ind w:left="2100"/>
        <w:spacing w:after="0" w:line="237" w:lineRule="auto"/>
        <w:rPr>
          <w:sz w:val="20"/>
          <w:szCs w:val="20"/>
          <w:color w:val="auto"/>
        </w:rPr>
      </w:pPr>
      <w:r>
        <w:rPr>
          <w:rFonts w:ascii="Courier New" w:cs="Courier New" w:eastAsia="Courier New" w:hAnsi="Courier New"/>
          <w:sz w:val="15"/>
          <w:szCs w:val="15"/>
          <w:color w:val="auto"/>
        </w:rPr>
        <w:t>35,230,224</w:t>
      </w:r>
    </w:p>
    <w:p>
      <w:pPr>
        <w:ind w:left="3320"/>
        <w:spacing w:after="0" w:line="238" w:lineRule="auto"/>
        <w:rPr>
          <w:sz w:val="20"/>
          <w:szCs w:val="20"/>
          <w:color w:val="auto"/>
        </w:rPr>
      </w:pPr>
      <w:r>
        <w:rPr>
          <w:rFonts w:ascii="Courier New" w:cs="Courier New" w:eastAsia="Courier New" w:hAnsi="Courier New"/>
          <w:sz w:val="15"/>
          <w:szCs w:val="15"/>
          <w:color w:val="auto"/>
        </w:rPr>
        <w:t>0</w:t>
      </w:r>
    </w:p>
    <w:p>
      <w:pPr>
        <w:ind w:left="3240"/>
        <w:spacing w:after="0" w:line="238" w:lineRule="auto"/>
        <w:rPr>
          <w:sz w:val="20"/>
          <w:szCs w:val="20"/>
          <w:color w:val="auto"/>
        </w:rPr>
      </w:pPr>
      <w:r>
        <w:rPr>
          <w:rFonts w:ascii="Courier New" w:cs="Courier New" w:eastAsia="Courier New" w:hAnsi="Courier New"/>
          <w:sz w:val="15"/>
          <w:szCs w:val="15"/>
          <w:color w:val="auto"/>
        </w:rPr>
        <w:t>0</w:t>
      </w:r>
    </w:p>
    <w:p>
      <w:pPr>
        <w:ind w:left="3760"/>
        <w:spacing w:after="0" w:line="237" w:lineRule="auto"/>
        <w:rPr>
          <w:sz w:val="20"/>
          <w:szCs w:val="20"/>
          <w:color w:val="auto"/>
        </w:rPr>
      </w:pPr>
      <w:r>
        <w:rPr>
          <w:rFonts w:ascii="Courier New" w:cs="Courier New" w:eastAsia="Courier New" w:hAnsi="Courier New"/>
          <w:sz w:val="15"/>
          <w:szCs w:val="15"/>
          <w:color w:val="auto"/>
        </w:rPr>
        <w:t>0</w:t>
      </w:r>
    </w:p>
    <w:p>
      <w:pPr>
        <w:ind w:left="2700"/>
        <w:spacing w:after="0" w:line="238" w:lineRule="auto"/>
        <w:rPr>
          <w:sz w:val="20"/>
          <w:szCs w:val="20"/>
          <w:color w:val="auto"/>
        </w:rPr>
      </w:pPr>
      <w:r>
        <w:rPr>
          <w:rFonts w:ascii="Courier New" w:cs="Courier New" w:eastAsia="Courier New" w:hAnsi="Courier New"/>
          <w:sz w:val="15"/>
          <w:szCs w:val="15"/>
          <w:color w:val="auto"/>
        </w:rPr>
        <w:t>35,230,224</w:t>
      </w:r>
    </w:p>
    <w:p>
      <w:pPr>
        <w:ind w:left="3140"/>
        <w:spacing w:after="0" w:line="237" w:lineRule="auto"/>
        <w:rPr>
          <w:sz w:val="20"/>
          <w:szCs w:val="20"/>
          <w:color w:val="auto"/>
        </w:rPr>
      </w:pPr>
      <w:r>
        <w:rPr>
          <w:rFonts w:ascii="Courier New" w:cs="Courier New" w:eastAsia="Courier New" w:hAnsi="Courier New"/>
          <w:sz w:val="15"/>
          <w:szCs w:val="15"/>
          <w:color w:val="auto"/>
        </w:rPr>
        <w:t>1.01</w:t>
      </w:r>
    </w:p>
    <w:p>
      <w:pPr>
        <w:ind w:left="3140"/>
        <w:spacing w:after="0" w:line="238" w:lineRule="auto"/>
        <w:rPr>
          <w:sz w:val="20"/>
          <w:szCs w:val="20"/>
          <w:color w:val="auto"/>
        </w:rPr>
      </w:pPr>
      <w:r>
        <w:rPr>
          <w:rFonts w:ascii="Courier New" w:cs="Courier New" w:eastAsia="Courier New" w:hAnsi="Courier New"/>
          <w:sz w:val="15"/>
          <w:szCs w:val="15"/>
          <w:color w:val="auto"/>
        </w:rPr>
        <w:t>0.98</w:t>
      </w:r>
    </w:p>
    <w:sectPr>
      <w:pgSz w:w="11900" w:h="16838" w:orient="portrait"/>
      <w:cols w:equalWidth="0" w:num="1">
        <w:col w:w="10139"/>
      </w:cols>
      <w:pgMar w:left="320" w:top="47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1)"/>
      <w:numFmt w:val="upperLetter"/>
      <w:start w:val="24"/>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1)"/>
      <w:numFmt w:val="lowerLetter"/>
      <w:start w:val="1"/>
    </w:lvl>
    <w:lvl w:ilvl="1">
      <w:lvlJc w:val="left"/>
      <w:lvlText w:val="%2."/>
      <w:numFmt w:val="decimal"/>
      <w:start w:val="2"/>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1)"/>
      <w:numFmt w:val="decimal"/>
      <w:start w:val="1"/>
    </w:lvl>
  </w:abstractNum>
  <w:abstractNum w:abstractNumId="16">
    <w:nsid w:val="2443A858"/>
    <w:multiLevelType w:val="hybridMultilevel"/>
    <w:lvl w:ilvl="0">
      <w:lvlJc w:val="left"/>
      <w:lvlText w:val="(%1)"/>
      <w:numFmt w:val="decimal"/>
      <w:start w:val="1"/>
    </w:lvl>
  </w:abstractNum>
  <w:abstractNum w:abstractNumId="17">
    <w:nsid w:val="2D1D5AE9"/>
    <w:multiLevelType w:val="hybridMultilevel"/>
    <w:lvl w:ilvl="0">
      <w:lvlJc w:val="left"/>
      <w:lvlText w:val="(%1)"/>
      <w:numFmt w:val="decimal"/>
      <w:start w:val="1"/>
    </w:lvl>
  </w:abstractNum>
  <w:abstractNum w:abstractNumId="18">
    <w:nsid w:val="6763845E"/>
    <w:multiLevelType w:val="hybridMultilevel"/>
    <w:lvl w:ilvl="0">
      <w:lvlJc w:val="left"/>
      <w:lvlText w:val="(%1)"/>
      <w:numFmt w:val="decimal"/>
      <w:start w:val="4"/>
    </w:lvl>
  </w:abstractNum>
  <w:abstractNum w:abstractNumId="19">
    <w:nsid w:val="75A2A8D4"/>
    <w:multiLevelType w:val="hybridMultilevel"/>
    <w:lvl w:ilvl="0">
      <w:lvlJc w:val="left"/>
      <w:lvlText w:val="(%1)"/>
      <w:numFmt w:val="decimal"/>
      <w:start w:val="6"/>
    </w:lvl>
  </w:abstractNum>
  <w:abstractNum w:abstractNumId="20">
    <w:nsid w:val="8EDBDAB"/>
    <w:multiLevelType w:val="hybridMultilevel"/>
    <w:lvl w:ilvl="0">
      <w:lvlJc w:val="left"/>
      <w:lvlText w:val="(%1)"/>
      <w:numFmt w:val="decimal"/>
      <w:start w:val="6"/>
    </w:lvl>
  </w:abstractNum>
  <w:abstractNum w:abstractNumId="21">
    <w:nsid w:val="79838CB2"/>
    <w:multiLevelType w:val="hybridMultilevel"/>
    <w:lvl w:ilvl="0">
      <w:lvlJc w:val="left"/>
      <w:lvlText w:val="(%1)"/>
      <w:numFmt w:val="decimal"/>
    </w:lvl>
  </w:abstractNum>
  <w:abstractNum w:abstractNumId="22">
    <w:nsid w:val="4353D0CD"/>
    <w:multiLevelType w:val="hybridMultilevel"/>
    <w:lvl w:ilvl="0">
      <w:lvlJc w:val="left"/>
      <w:lvlText w:val="(%1)"/>
      <w:numFmt w:val="decimal"/>
      <w:start w:val="7"/>
    </w:lvl>
  </w:abstractNum>
  <w:abstractNum w:abstractNumId="23">
    <w:nsid w:val="B03E0C6"/>
    <w:multiLevelType w:val="hybridMultilevel"/>
    <w:lvl w:ilvl="0">
      <w:lvlJc w:val="left"/>
      <w:lvlText w:val="(%1)"/>
      <w:numFmt w:val="decimal"/>
      <w:start w:val="8"/>
    </w:lvl>
    <w:lvl w:ilvl="1">
      <w:lvlJc w:val="left"/>
      <w:lvlText w:val="-"/>
      <w:numFmt w:val="bullet"/>
      <w:start w:val="1"/>
    </w:lvl>
  </w:abstractNum>
  <w:abstractNum w:abstractNumId="24">
    <w:nsid w:val="189A769B"/>
    <w:multiLevelType w:val="hybridMultilevel"/>
    <w:lvl w:ilvl="0">
      <w:lvlJc w:val="left"/>
      <w:lvlText w:val="(%1)"/>
      <w:numFmt w:val="decimal"/>
      <w:start w:val="9"/>
    </w:lvl>
  </w:abstractNum>
  <w:abstractNum w:abstractNumId="25">
    <w:nsid w:val="54E49EB4"/>
    <w:multiLevelType w:val="hybridMultilevel"/>
    <w:lvl w:ilvl="0">
      <w:lvlJc w:val="left"/>
      <w:lvlText w:val="(%1)"/>
      <w:numFmt w:val="decimal"/>
      <w:start w:val="9"/>
    </w:lvl>
  </w:abstractNum>
  <w:abstractNum w:abstractNumId="26">
    <w:nsid w:val="71F32454"/>
    <w:multiLevelType w:val="hybridMultilevel"/>
    <w:lvl w:ilvl="0">
      <w:lvlJc w:val="left"/>
      <w:lvlText w:val="%1"/>
      <w:numFmt w:val="decimal"/>
      <w:start w:val="27"/>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2019-12-13T10:51:27Z</dcterms:created>
  <dcterms:modified xsi:type="dcterms:W3CDTF">2019-12-13T10:51:27Z</dcterms:modified>
</cp:coreProperties>
</file>