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194310</wp:posOffset>
            </wp:positionV>
            <wp:extent cx="533146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31460" cy="22860"/>
                    </a:xfrm>
                    <a:prstGeom prst="rect">
                      <a:avLst/>
                    </a:prstGeom>
                    <a:noFill/>
                  </pic:spPr>
                </pic:pic>
              </a:graphicData>
            </a:graphic>
          </wp:anchor>
        </w:drawing>
        <w:drawing>
          <wp:anchor simplePos="0" relativeHeight="251657728" behindDoc="1" locked="0" layoutInCell="0" allowOverlap="1">
            <wp:simplePos x="0" y="0"/>
            <wp:positionH relativeFrom="column">
              <wp:posOffset>183515</wp:posOffset>
            </wp:positionH>
            <wp:positionV relativeFrom="paragraph">
              <wp:posOffset>224790</wp:posOffset>
            </wp:positionV>
            <wp:extent cx="533146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31460" cy="76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center"/>
        <w:ind w:right="1239"/>
        <w:spacing w:after="0"/>
        <w:rPr>
          <w:sz w:val="20"/>
          <w:szCs w:val="20"/>
          <w:color w:val="auto"/>
        </w:rPr>
      </w:pPr>
      <w:r>
        <w:rPr>
          <w:rFonts w:ascii="Arial" w:cs="Arial" w:eastAsia="Arial" w:hAnsi="Arial"/>
          <w:sz w:val="23"/>
          <w:szCs w:val="23"/>
          <w:b w:val="1"/>
          <w:bCs w:val="1"/>
          <w:color w:val="auto"/>
        </w:rPr>
        <w:t>UNITED STATES</w:t>
      </w:r>
    </w:p>
    <w:p>
      <w:pPr>
        <w:spacing w:after="0" w:line="26" w:lineRule="exact"/>
        <w:rPr>
          <w:sz w:val="20"/>
          <w:szCs w:val="20"/>
          <w:color w:val="auto"/>
        </w:rPr>
      </w:pPr>
    </w:p>
    <w:p>
      <w:pPr>
        <w:jc w:val="center"/>
        <w:ind w:right="123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1239"/>
        <w:spacing w:after="0"/>
        <w:rPr>
          <w:sz w:val="20"/>
          <w:szCs w:val="20"/>
          <w:color w:val="auto"/>
        </w:rPr>
      </w:pPr>
      <w:r>
        <w:rPr>
          <w:rFonts w:ascii="Arial" w:cs="Arial" w:eastAsia="Arial" w:hAnsi="Arial"/>
          <w:sz w:val="19"/>
          <w:szCs w:val="19"/>
          <w:b w:val="1"/>
          <w:bCs w:val="1"/>
          <w:color w:val="auto"/>
        </w:rPr>
        <w:t>Washington, D.C. 20549</w:t>
      </w:r>
    </w:p>
    <w:p>
      <w:pPr>
        <w:spacing w:after="0" w:line="144" w:lineRule="exact"/>
        <w:rPr>
          <w:sz w:val="20"/>
          <w:szCs w:val="20"/>
          <w:color w:val="auto"/>
        </w:rPr>
      </w:pPr>
    </w:p>
    <w:p>
      <w:pPr>
        <w:ind w:left="3700"/>
        <w:spacing w:after="0"/>
        <w:rPr>
          <w:sz w:val="20"/>
          <w:szCs w:val="20"/>
          <w:color w:val="auto"/>
        </w:rPr>
      </w:pPr>
      <w:r>
        <w:rPr>
          <w:rFonts w:ascii="Arial" w:cs="Arial" w:eastAsia="Arial" w:hAnsi="Arial"/>
          <w:sz w:val="29"/>
          <w:szCs w:val="29"/>
          <w:b w:val="1"/>
          <w:bCs w:val="1"/>
          <w:color w:val="auto"/>
        </w:rPr>
        <w:t>FORM 10-K</w:t>
      </w:r>
    </w:p>
    <w:p>
      <w:pPr>
        <w:spacing w:after="0" w:line="192" w:lineRule="exact"/>
        <w:rPr>
          <w:sz w:val="20"/>
          <w:szCs w:val="20"/>
          <w:color w:val="auto"/>
        </w:rPr>
      </w:pPr>
    </w:p>
    <w:p>
      <w:pPr>
        <w:ind w:left="1300" w:right="1739" w:hanging="797"/>
        <w:spacing w:after="0" w:line="283" w:lineRule="auto"/>
        <w:tabs>
          <w:tab w:leader="none" w:pos="13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ANNUAL REPORT PURSUANT TO SECTION 13 OR 15(d) OF THE SECURITIES EXCHANGE ACT OF 1934</w:t>
      </w:r>
    </w:p>
    <w:p>
      <w:pPr>
        <w:spacing w:after="0" w:line="89"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 xml:space="preserve">For fiscal year ended </w:t>
      </w:r>
      <w:r>
        <w:rPr>
          <w:rFonts w:ascii="Arial" w:cs="Arial" w:eastAsia="Arial" w:hAnsi="Arial"/>
          <w:sz w:val="16"/>
          <w:szCs w:val="16"/>
          <w:b w:val="1"/>
          <w:bCs w:val="1"/>
          <w:u w:val="single" w:color="auto"/>
          <w:color w:val="auto"/>
        </w:rPr>
        <w:t>December 31, 2009</w:t>
      </w:r>
      <w:r>
        <w:rPr>
          <w:rFonts w:ascii="Arial" w:cs="Arial" w:eastAsia="Arial" w:hAnsi="Arial"/>
          <w:sz w:val="16"/>
          <w:szCs w:val="16"/>
          <w:b w:val="1"/>
          <w:bCs w:val="1"/>
          <w:color w:val="auto"/>
        </w:rPr>
        <w:t>, or</w:t>
      </w:r>
    </w:p>
    <w:p>
      <w:pPr>
        <w:spacing w:after="0" w:line="171" w:lineRule="exact"/>
        <w:rPr>
          <w:sz w:val="20"/>
          <w:szCs w:val="20"/>
          <w:color w:val="auto"/>
        </w:rPr>
      </w:pPr>
    </w:p>
    <w:p>
      <w:pPr>
        <w:ind w:left="1300" w:right="2599" w:hanging="761"/>
        <w:spacing w:after="0" w:line="283" w:lineRule="auto"/>
        <w:tabs>
          <w:tab w:leader="none" w:pos="130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89" w:lineRule="exact"/>
        <w:rPr>
          <w:sz w:val="20"/>
          <w:szCs w:val="20"/>
          <w:color w:val="auto"/>
        </w:rPr>
      </w:pPr>
    </w:p>
    <w:p>
      <w:pPr>
        <w:ind w:left="1300"/>
        <w:spacing w:after="0"/>
        <w:tabs>
          <w:tab w:leader="none" w:pos="4640" w:val="left"/>
          <w:tab w:leader="none" w:pos="578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2297430</wp:posOffset>
            </wp:positionH>
            <wp:positionV relativeFrom="paragraph">
              <wp:posOffset>-2540</wp:posOffset>
            </wp:positionV>
            <wp:extent cx="13823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2395" cy="7620"/>
                    </a:xfrm>
                    <a:prstGeom prst="rect">
                      <a:avLst/>
                    </a:prstGeom>
                    <a:noFill/>
                  </pic:spPr>
                </pic:pic>
              </a:graphicData>
            </a:graphic>
          </wp:anchor>
        </w:drawing>
      </w:r>
    </w:p>
    <w:p>
      <w:pPr>
        <w:spacing w:after="0" w:line="148"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color w:val="auto"/>
        </w:rPr>
        <w:t xml:space="preserve">Commission File No.: </w:t>
      </w:r>
      <w:r>
        <w:rPr>
          <w:rFonts w:ascii="Arial" w:cs="Arial" w:eastAsia="Arial" w:hAnsi="Arial"/>
          <w:sz w:val="16"/>
          <w:szCs w:val="16"/>
          <w:b w:val="1"/>
          <w:bCs w:val="1"/>
          <w:u w:val="single" w:color="auto"/>
          <w:color w:val="auto"/>
        </w:rPr>
        <w:t>0-10235</w:t>
      </w:r>
    </w:p>
    <w:p>
      <w:pPr>
        <w:spacing w:after="0" w:line="129" w:lineRule="exact"/>
        <w:rPr>
          <w:sz w:val="20"/>
          <w:szCs w:val="20"/>
          <w:color w:val="auto"/>
        </w:rPr>
      </w:pPr>
    </w:p>
    <w:p>
      <w:pPr>
        <w:jc w:val="center"/>
        <w:ind w:right="1239"/>
        <w:spacing w:after="0"/>
        <w:rPr>
          <w:sz w:val="20"/>
          <w:szCs w:val="20"/>
          <w:color w:val="auto"/>
        </w:rPr>
      </w:pPr>
      <w:r>
        <w:rPr>
          <w:rFonts w:ascii="Arial" w:cs="Arial" w:eastAsia="Arial" w:hAnsi="Arial"/>
          <w:sz w:val="39"/>
          <w:szCs w:val="39"/>
          <w:b w:val="1"/>
          <w:bCs w:val="1"/>
          <w:color w:val="auto"/>
        </w:rPr>
        <w:t>GENTEX CORPORATION</w:t>
      </w:r>
    </w:p>
    <w:p>
      <w:pPr>
        <w:spacing w:after="0" w:line="48" w:lineRule="exact"/>
        <w:rPr>
          <w:sz w:val="20"/>
          <w:szCs w:val="20"/>
          <w:color w:val="auto"/>
        </w:rPr>
      </w:pPr>
    </w:p>
    <w:p>
      <w:pPr>
        <w:ind w:left="2640"/>
        <w:spacing w:after="0"/>
        <w:rPr>
          <w:sz w:val="20"/>
          <w:szCs w:val="20"/>
          <w:color w:val="auto"/>
        </w:rPr>
      </w:pPr>
      <w:r>
        <w:rPr>
          <w:rFonts w:ascii="Arial" w:cs="Arial" w:eastAsia="Arial" w:hAnsi="Arial"/>
          <w:sz w:val="16"/>
          <w:szCs w:val="16"/>
          <w:color w:val="auto"/>
        </w:rPr>
        <w:t>(Exact name of registrant as specified in its charter)</w:t>
      </w:r>
    </w:p>
    <w:p>
      <w:pPr>
        <w:spacing w:after="0" w:line="161" w:lineRule="exact"/>
        <w:rPr>
          <w:sz w:val="20"/>
          <w:szCs w:val="20"/>
          <w:color w:val="auto"/>
        </w:rPr>
      </w:pPr>
    </w:p>
    <w:tbl>
      <w:tblPr>
        <w:tblLayout w:type="fixed"/>
        <w:tblInd w:w="600" w:type="dxa"/>
        <w:tblCellMar>
          <w:top w:w="0" w:type="dxa"/>
          <w:left w:w="0" w:type="dxa"/>
          <w:bottom w:w="0" w:type="dxa"/>
          <w:right w:w="0" w:type="dxa"/>
        </w:tblCellMar>
      </w:tblPr>
      <w:tr>
        <w:trPr>
          <w:trHeight w:val="202"/>
        </w:trPr>
        <w:tc>
          <w:tcPr>
            <w:tcW w:w="4400" w:type="dxa"/>
            <w:vAlign w:val="bottom"/>
          </w:tcPr>
          <w:p>
            <w:pPr>
              <w:jc w:val="center"/>
              <w:ind w:right="939"/>
              <w:spacing w:after="0"/>
              <w:rPr>
                <w:sz w:val="20"/>
                <w:szCs w:val="20"/>
                <w:color w:val="auto"/>
              </w:rPr>
            </w:pPr>
            <w:r>
              <w:rPr>
                <w:rFonts w:ascii="Arial" w:cs="Arial" w:eastAsia="Arial" w:hAnsi="Arial"/>
                <w:sz w:val="16"/>
                <w:szCs w:val="16"/>
                <w:b w:val="1"/>
                <w:bCs w:val="1"/>
                <w:color w:val="auto"/>
              </w:rPr>
              <w:t>Michigan</w:t>
            </w:r>
          </w:p>
        </w:tc>
        <w:tc>
          <w:tcPr>
            <w:tcW w:w="2320" w:type="dxa"/>
            <w:vAlign w:val="bottom"/>
          </w:tcPr>
          <w:p>
            <w:pPr>
              <w:jc w:val="right"/>
              <w:ind w:right="119"/>
              <w:spacing w:after="0"/>
              <w:rPr>
                <w:sz w:val="20"/>
                <w:szCs w:val="20"/>
                <w:color w:val="auto"/>
              </w:rPr>
            </w:pPr>
            <w:r>
              <w:rPr>
                <w:rFonts w:ascii="Arial" w:cs="Arial" w:eastAsia="Arial" w:hAnsi="Arial"/>
                <w:sz w:val="16"/>
                <w:szCs w:val="16"/>
                <w:color w:val="auto"/>
              </w:rPr>
              <w:t>38-2030505</w:t>
            </w:r>
          </w:p>
        </w:tc>
      </w:tr>
      <w:tr>
        <w:trPr>
          <w:trHeight w:val="182"/>
        </w:trPr>
        <w:tc>
          <w:tcPr>
            <w:tcW w:w="4400" w:type="dxa"/>
            <w:vAlign w:val="bottom"/>
          </w:tcPr>
          <w:p>
            <w:pPr>
              <w:ind w:left="640"/>
              <w:spacing w:after="0" w:line="182" w:lineRule="exact"/>
              <w:rPr>
                <w:sz w:val="20"/>
                <w:szCs w:val="20"/>
                <w:color w:val="auto"/>
              </w:rPr>
            </w:pPr>
            <w:r>
              <w:rPr>
                <w:rFonts w:ascii="Arial" w:cs="Arial" w:eastAsia="Arial" w:hAnsi="Arial"/>
                <w:sz w:val="16"/>
                <w:szCs w:val="16"/>
                <w:color w:val="auto"/>
              </w:rPr>
              <w:t>(State or other jurisdiction of</w:t>
            </w:r>
          </w:p>
        </w:tc>
        <w:tc>
          <w:tcPr>
            <w:tcW w:w="2320" w:type="dxa"/>
            <w:vAlign w:val="bottom"/>
          </w:tcPr>
          <w:p>
            <w:pPr>
              <w:jc w:val="center"/>
              <w:ind w:left="979"/>
              <w:spacing w:after="0" w:line="182" w:lineRule="exact"/>
              <w:rPr>
                <w:sz w:val="20"/>
                <w:szCs w:val="20"/>
                <w:color w:val="auto"/>
              </w:rPr>
            </w:pPr>
            <w:r>
              <w:rPr>
                <w:rFonts w:ascii="Arial" w:cs="Arial" w:eastAsia="Arial" w:hAnsi="Arial"/>
                <w:sz w:val="16"/>
                <w:szCs w:val="16"/>
                <w:color w:val="auto"/>
              </w:rPr>
              <w:t>(I.R.S. Employer</w:t>
            </w:r>
          </w:p>
        </w:tc>
      </w:tr>
      <w:tr>
        <w:trPr>
          <w:trHeight w:val="195"/>
        </w:trPr>
        <w:tc>
          <w:tcPr>
            <w:tcW w:w="4400" w:type="dxa"/>
            <w:vAlign w:val="bottom"/>
          </w:tcPr>
          <w:p>
            <w:pPr>
              <w:jc w:val="center"/>
              <w:ind w:right="959"/>
              <w:spacing w:after="0"/>
              <w:rPr>
                <w:sz w:val="20"/>
                <w:szCs w:val="20"/>
                <w:color w:val="auto"/>
              </w:rPr>
            </w:pPr>
            <w:r>
              <w:rPr>
                <w:rFonts w:ascii="Arial" w:cs="Arial" w:eastAsia="Arial" w:hAnsi="Arial"/>
                <w:sz w:val="16"/>
                <w:szCs w:val="16"/>
                <w:color w:val="auto"/>
              </w:rPr>
              <w:t>Incorporation of organization)</w:t>
            </w:r>
          </w:p>
        </w:tc>
        <w:tc>
          <w:tcPr>
            <w:tcW w:w="2320" w:type="dxa"/>
            <w:vAlign w:val="bottom"/>
          </w:tcPr>
          <w:p>
            <w:pPr>
              <w:jc w:val="center"/>
              <w:ind w:left="979"/>
              <w:spacing w:after="0"/>
              <w:rPr>
                <w:sz w:val="20"/>
                <w:szCs w:val="20"/>
                <w:color w:val="auto"/>
              </w:rPr>
            </w:pPr>
            <w:r>
              <w:rPr>
                <w:rFonts w:ascii="Arial" w:cs="Arial" w:eastAsia="Arial" w:hAnsi="Arial"/>
                <w:sz w:val="16"/>
                <w:szCs w:val="16"/>
                <w:color w:val="auto"/>
              </w:rPr>
              <w:t>Identification No.)</w:t>
            </w:r>
          </w:p>
        </w:tc>
      </w:tr>
      <w:tr>
        <w:trPr>
          <w:trHeight w:val="352"/>
        </w:trPr>
        <w:tc>
          <w:tcPr>
            <w:tcW w:w="4400" w:type="dxa"/>
            <w:vAlign w:val="bottom"/>
          </w:tcPr>
          <w:p>
            <w:pPr>
              <w:jc w:val="center"/>
              <w:ind w:right="959"/>
              <w:spacing w:after="0"/>
              <w:rPr>
                <w:sz w:val="20"/>
                <w:szCs w:val="20"/>
                <w:color w:val="auto"/>
              </w:rPr>
            </w:pPr>
            <w:r>
              <w:rPr>
                <w:rFonts w:ascii="Arial" w:cs="Arial" w:eastAsia="Arial" w:hAnsi="Arial"/>
                <w:sz w:val="16"/>
                <w:szCs w:val="16"/>
                <w:b w:val="1"/>
                <w:bCs w:val="1"/>
                <w:color w:val="auto"/>
              </w:rPr>
              <w:t>600 N. Centennial Street, Zeeland, Michigan</w:t>
            </w:r>
          </w:p>
        </w:tc>
        <w:tc>
          <w:tcPr>
            <w:tcW w:w="2320" w:type="dxa"/>
            <w:vAlign w:val="bottom"/>
          </w:tcPr>
          <w:p>
            <w:pPr>
              <w:jc w:val="right"/>
              <w:ind w:right="319"/>
              <w:spacing w:after="0"/>
              <w:rPr>
                <w:sz w:val="20"/>
                <w:szCs w:val="20"/>
                <w:color w:val="auto"/>
              </w:rPr>
            </w:pPr>
            <w:r>
              <w:rPr>
                <w:rFonts w:ascii="Arial" w:cs="Arial" w:eastAsia="Arial" w:hAnsi="Arial"/>
                <w:sz w:val="16"/>
                <w:szCs w:val="16"/>
                <w:color w:val="auto"/>
              </w:rPr>
              <w:t>49464</w:t>
            </w:r>
          </w:p>
        </w:tc>
      </w:tr>
      <w:tr>
        <w:trPr>
          <w:trHeight w:val="195"/>
        </w:trPr>
        <w:tc>
          <w:tcPr>
            <w:tcW w:w="4400" w:type="dxa"/>
            <w:vAlign w:val="bottom"/>
          </w:tcPr>
          <w:p>
            <w:pPr>
              <w:jc w:val="center"/>
              <w:ind w:right="959"/>
              <w:spacing w:after="0"/>
              <w:rPr>
                <w:sz w:val="20"/>
                <w:szCs w:val="20"/>
                <w:color w:val="auto"/>
              </w:rPr>
            </w:pPr>
            <w:r>
              <w:rPr>
                <w:rFonts w:ascii="Arial" w:cs="Arial" w:eastAsia="Arial" w:hAnsi="Arial"/>
                <w:sz w:val="16"/>
                <w:szCs w:val="16"/>
                <w:color w:val="auto"/>
              </w:rPr>
              <w:t>(Address of principal executive offices)</w:t>
            </w:r>
          </w:p>
        </w:tc>
        <w:tc>
          <w:tcPr>
            <w:tcW w:w="2320" w:type="dxa"/>
            <w:vAlign w:val="bottom"/>
          </w:tcPr>
          <w:p>
            <w:pPr>
              <w:jc w:val="center"/>
              <w:ind w:left="959"/>
              <w:spacing w:after="0"/>
              <w:rPr>
                <w:sz w:val="20"/>
                <w:szCs w:val="20"/>
                <w:color w:val="auto"/>
              </w:rPr>
            </w:pPr>
            <w:r>
              <w:rPr>
                <w:rFonts w:ascii="Arial" w:cs="Arial" w:eastAsia="Arial" w:hAnsi="Arial"/>
                <w:sz w:val="16"/>
                <w:szCs w:val="16"/>
                <w:color w:val="auto"/>
              </w:rPr>
              <w:t>(Zip Code)</w:t>
            </w:r>
          </w:p>
        </w:tc>
      </w:tr>
    </w:tbl>
    <w:p>
      <w:pPr>
        <w:spacing w:after="0" w:line="126"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color w:val="auto"/>
        </w:rPr>
        <w:t>(616) 772-1800</w:t>
      </w:r>
    </w:p>
    <w:p>
      <w:pPr>
        <w:spacing w:after="0" w:line="18" w:lineRule="exact"/>
        <w:rPr>
          <w:sz w:val="20"/>
          <w:szCs w:val="20"/>
          <w:color w:val="auto"/>
        </w:rPr>
      </w:pPr>
    </w:p>
    <w:p>
      <w:pPr>
        <w:jc w:val="center"/>
        <w:ind w:right="1239"/>
        <w:spacing w:after="0"/>
        <w:rPr>
          <w:sz w:val="20"/>
          <w:szCs w:val="20"/>
          <w:color w:val="auto"/>
        </w:rPr>
      </w:pPr>
      <w:r>
        <w:rPr>
          <w:rFonts w:ascii="Arial" w:cs="Arial" w:eastAsia="Arial" w:hAnsi="Arial"/>
          <w:sz w:val="16"/>
          <w:szCs w:val="16"/>
          <w:color w:val="auto"/>
        </w:rPr>
        <w:t>(Registrant’s telephone number, including area code)</w:t>
      </w:r>
    </w:p>
    <w:p>
      <w:pPr>
        <w:spacing w:after="0" w:line="168" w:lineRule="exact"/>
        <w:rPr>
          <w:sz w:val="20"/>
          <w:szCs w:val="20"/>
          <w:color w:val="auto"/>
        </w:rPr>
      </w:pPr>
    </w:p>
    <w:p>
      <w:pPr>
        <w:ind w:left="2440"/>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0219"/>
          </w:cols>
          <w:pgMar w:left="240" w:top="124" w:right="1440" w:bottom="0" w:gutter="0" w:footer="0" w:header="0"/>
        </w:sectPr>
      </w:pPr>
    </w:p>
    <w:p>
      <w:pPr>
        <w:spacing w:after="0" w:line="179" w:lineRule="exact"/>
        <w:rPr>
          <w:sz w:val="20"/>
          <w:szCs w:val="20"/>
          <w:color w:val="auto"/>
        </w:rPr>
      </w:pPr>
    </w:p>
    <w:p>
      <w:pPr>
        <w:jc w:val="center"/>
        <w:ind w:left="200"/>
        <w:spacing w:after="0"/>
        <w:rPr>
          <w:sz w:val="20"/>
          <w:szCs w:val="20"/>
          <w:color w:val="auto"/>
        </w:rPr>
      </w:pPr>
      <w:r>
        <w:rPr>
          <w:rFonts w:ascii="Arial" w:cs="Arial" w:eastAsia="Arial" w:hAnsi="Arial"/>
          <w:sz w:val="16"/>
          <w:szCs w:val="16"/>
          <w:color w:val="auto"/>
        </w:rPr>
        <w:t>Title of each Class</w:t>
      </w:r>
    </w:p>
    <w:p>
      <w:pPr>
        <w:jc w:val="center"/>
        <w:ind w:left="200"/>
        <w:spacing w:after="0"/>
        <w:rPr>
          <w:sz w:val="20"/>
          <w:szCs w:val="20"/>
          <w:color w:val="auto"/>
        </w:rPr>
      </w:pPr>
      <w:r>
        <w:rPr>
          <w:rFonts w:ascii="Arial" w:cs="Arial" w:eastAsia="Arial" w:hAnsi="Arial"/>
          <w:sz w:val="16"/>
          <w:szCs w:val="16"/>
          <w:b w:val="1"/>
          <w:bCs w:val="1"/>
          <w:color w:val="auto"/>
        </w:rPr>
        <w:t>Common Stock, par value $.06 per share</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1939"/>
        <w:spacing w:after="0"/>
        <w:rPr>
          <w:sz w:val="20"/>
          <w:szCs w:val="20"/>
          <w:color w:val="auto"/>
        </w:rPr>
      </w:pPr>
      <w:r>
        <w:rPr>
          <w:rFonts w:ascii="Arial" w:cs="Arial" w:eastAsia="Arial" w:hAnsi="Arial"/>
          <w:sz w:val="16"/>
          <w:szCs w:val="16"/>
          <w:color w:val="auto"/>
        </w:rPr>
        <w:t>Name of each exchange on which registered</w:t>
      </w:r>
    </w:p>
    <w:p>
      <w:pPr>
        <w:jc w:val="center"/>
        <w:ind w:right="1939"/>
        <w:spacing w:after="0"/>
        <w:rPr>
          <w:sz w:val="20"/>
          <w:szCs w:val="20"/>
          <w:color w:val="auto"/>
        </w:rPr>
      </w:pPr>
      <w:r>
        <w:rPr>
          <w:rFonts w:ascii="Arial" w:cs="Arial" w:eastAsia="Arial" w:hAnsi="Arial"/>
          <w:sz w:val="16"/>
          <w:szCs w:val="16"/>
          <w:color w:val="auto"/>
        </w:rPr>
        <w:t>Nasdaq Global Select Market</w:t>
      </w:r>
    </w:p>
    <w:p>
      <w:pPr>
        <w:spacing w:after="0" w:line="156" w:lineRule="exact"/>
        <w:rPr>
          <w:sz w:val="20"/>
          <w:szCs w:val="20"/>
          <w:color w:val="auto"/>
        </w:rPr>
      </w:pPr>
    </w:p>
    <w:p>
      <w:pPr>
        <w:sectPr>
          <w:pgSz w:w="11900" w:h="16838" w:orient="portrait"/>
          <w:cols w:equalWidth="0" w:num="2">
            <w:col w:w="4360" w:space="720"/>
            <w:col w:w="5139"/>
          </w:cols>
          <w:pgMar w:left="240" w:top="124" w:right="1440" w:bottom="0" w:gutter="0" w:footer="0" w:header="0"/>
          <w:type w:val="continuous"/>
        </w:sectPr>
      </w:pPr>
    </w:p>
    <w:p>
      <w:pPr>
        <w:jc w:val="center"/>
        <w:ind w:right="1239"/>
        <w:spacing w:after="0"/>
        <w:rPr>
          <w:sz w:val="20"/>
          <w:szCs w:val="20"/>
          <w:color w:val="auto"/>
        </w:rPr>
      </w:pPr>
      <w:r>
        <w:rPr>
          <w:rFonts w:ascii="Arial" w:cs="Arial" w:eastAsia="Arial" w:hAnsi="Arial"/>
          <w:sz w:val="16"/>
          <w:szCs w:val="16"/>
          <w:color w:val="auto"/>
        </w:rPr>
        <w:t>Securities registered pursuant to Section 12(g) of the Act:</w:t>
      </w:r>
    </w:p>
    <w:p>
      <w:pPr>
        <w:spacing w:after="0" w:line="136"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color w:val="auto"/>
        </w:rPr>
        <w:t>None</w:t>
      </w:r>
    </w:p>
    <w:p>
      <w:pPr>
        <w:spacing w:after="0" w:line="18" w:lineRule="exact"/>
        <w:rPr>
          <w:sz w:val="20"/>
          <w:szCs w:val="20"/>
          <w:color w:val="auto"/>
        </w:rPr>
      </w:pPr>
    </w:p>
    <w:p>
      <w:pPr>
        <w:jc w:val="center"/>
        <w:ind w:right="1239"/>
        <w:spacing w:after="0"/>
        <w:rPr>
          <w:sz w:val="20"/>
          <w:szCs w:val="20"/>
          <w:color w:val="auto"/>
        </w:rPr>
      </w:pPr>
      <w:r>
        <w:rPr>
          <w:rFonts w:ascii="Arial" w:cs="Arial" w:eastAsia="Arial" w:hAnsi="Arial"/>
          <w:sz w:val="16"/>
          <w:szCs w:val="16"/>
          <w:color w:val="auto"/>
        </w:rPr>
        <w:t>(Title of Class)</w:t>
      </w:r>
    </w:p>
    <w:p>
      <w:pPr>
        <w:spacing w:after="0" w:line="168" w:lineRule="exact"/>
        <w:rPr>
          <w:sz w:val="20"/>
          <w:szCs w:val="20"/>
          <w:color w:val="auto"/>
        </w:rPr>
      </w:pPr>
    </w:p>
    <w:p>
      <w:pPr>
        <w:ind w:left="280" w:right="1559"/>
        <w:spacing w:after="0" w:line="198"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of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41" w:lineRule="exact"/>
        <w:rPr>
          <w:sz w:val="20"/>
          <w:szCs w:val="20"/>
          <w:color w:val="auto"/>
        </w:rPr>
      </w:pPr>
    </w:p>
    <w:p>
      <w:pPr>
        <w:ind w:left="280" w:right="1799"/>
        <w:spacing w:after="0" w:line="198" w:lineRule="exact"/>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Yes: o No: </w:t>
      </w:r>
      <w:r>
        <w:rPr>
          <w:rFonts w:ascii="MS PGothic" w:cs="MS PGothic" w:eastAsia="MS PGothic" w:hAnsi="MS PGothic"/>
          <w:sz w:val="16"/>
          <w:szCs w:val="16"/>
          <w:color w:val="auto"/>
        </w:rPr>
        <w:t>☑</w:t>
      </w:r>
    </w:p>
    <w:p>
      <w:pPr>
        <w:spacing w:after="0" w:line="141" w:lineRule="exact"/>
        <w:rPr>
          <w:sz w:val="20"/>
          <w:szCs w:val="20"/>
          <w:color w:val="auto"/>
        </w:rPr>
      </w:pPr>
    </w:p>
    <w:p>
      <w:pPr>
        <w:ind w:left="280" w:right="1539"/>
        <w:spacing w:after="0" w:line="19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54" w:lineRule="exact"/>
        <w:rPr>
          <w:sz w:val="20"/>
          <w:szCs w:val="20"/>
          <w:color w:val="auto"/>
        </w:rPr>
      </w:pPr>
    </w:p>
    <w:p>
      <w:pPr>
        <w:ind w:left="280" w:right="1719"/>
        <w:spacing w:after="0" w:line="242"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o No: o</w:t>
      </w:r>
    </w:p>
    <w:p>
      <w:pPr>
        <w:spacing w:after="0" w:line="108" w:lineRule="exact"/>
        <w:rPr>
          <w:sz w:val="20"/>
          <w:szCs w:val="20"/>
          <w:color w:val="auto"/>
        </w:rPr>
      </w:pPr>
    </w:p>
    <w:p>
      <w:pPr>
        <w:ind w:left="600" w:hanging="311"/>
        <w:spacing w:after="0"/>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registrant has not yet been phased into the interactive data requirements</w:t>
      </w:r>
    </w:p>
    <w:p>
      <w:pPr>
        <w:spacing w:after="0" w:line="156" w:lineRule="exact"/>
        <w:rPr>
          <w:sz w:val="20"/>
          <w:szCs w:val="20"/>
          <w:color w:val="auto"/>
        </w:rPr>
      </w:pPr>
    </w:p>
    <w:p>
      <w:pPr>
        <w:ind w:left="280" w:right="1559"/>
        <w:spacing w:after="0" w:line="244" w:lineRule="auto"/>
        <w:rPr>
          <w:sz w:val="20"/>
          <w:szCs w:val="20"/>
          <w:color w:val="auto"/>
        </w:rPr>
      </w:pPr>
      <w:r>
        <w:rPr>
          <w:rFonts w:ascii="Arial" w:cs="Arial" w:eastAsia="Arial" w:hAnsi="Arial"/>
          <w:sz w:val="16"/>
          <w:szCs w:val="16"/>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o</w:t>
      </w:r>
    </w:p>
    <w:p>
      <w:pPr>
        <w:spacing w:after="0" w:line="156" w:lineRule="exact"/>
        <w:rPr>
          <w:sz w:val="20"/>
          <w:szCs w:val="20"/>
          <w:color w:val="auto"/>
        </w:rPr>
      </w:pPr>
    </w:p>
    <w:p>
      <w:pPr>
        <w:ind w:left="280" w:right="1639"/>
        <w:spacing w:after="0" w:line="244" w:lineRule="auto"/>
        <w:rPr>
          <w:sz w:val="20"/>
          <w:szCs w:val="20"/>
          <w:color w:val="auto"/>
        </w:rPr>
      </w:pPr>
      <w:r>
        <w:rPr>
          <w:rFonts w:ascii="Arial" w:cs="Arial" w:eastAsia="Arial" w:hAnsi="Arial"/>
          <w:sz w:val="16"/>
          <w:szCs w:val="16"/>
          <w:color w:val="auto"/>
        </w:rPr>
        <w:t>Indicate by check mark whether the registrant is a large accelerated filer, an accelerated file, a non-accelerated filer, or a smaller reporting company. See the definitions of “large accelerated filer”, “accelerated filer” and “smaller reporting company” in Rule 12b-2 of the Exchange Act:</w:t>
      </w:r>
    </w:p>
    <w:p>
      <w:pPr>
        <w:sectPr>
          <w:pgSz w:w="11900" w:h="16838" w:orient="portrait"/>
          <w:cols w:equalWidth="0" w:num="1">
            <w:col w:w="10219"/>
          </w:cols>
          <w:pgMar w:left="240" w:top="124" w:right="1440" w:bottom="0" w:gutter="0" w:footer="0" w:header="0"/>
          <w:type w:val="continuous"/>
        </w:sectPr>
      </w:pPr>
    </w:p>
    <w:p>
      <w:pPr>
        <w:spacing w:after="0" w:line="168"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color w:val="auto"/>
        </w:rPr>
        <w:t>Non-Accelerated Filer o</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 w:lineRule="exact"/>
        <w:rPr>
          <w:sz w:val="20"/>
          <w:szCs w:val="20"/>
          <w:color w:val="auto"/>
        </w:rPr>
      </w:pPr>
    </w:p>
    <w:p>
      <w:pPr>
        <w:sectPr>
          <w:pgSz w:w="11900" w:h="16838" w:orient="portrait"/>
          <w:cols w:equalWidth="0" w:num="4">
            <w:col w:w="2040" w:space="560"/>
            <w:col w:w="1340" w:space="560"/>
            <w:col w:w="1680" w:space="340"/>
            <w:col w:w="3699"/>
          </w:cols>
          <w:pgMar w:left="240" w:top="124" w:right="1440" w:bottom="0" w:gutter="0" w:footer="0" w:header="0"/>
          <w:type w:val="continuous"/>
        </w:sectPr>
      </w:pPr>
    </w:p>
    <w:p>
      <w:pPr>
        <w:spacing w:after="0" w:line="2" w:lineRule="exact"/>
        <w:rPr>
          <w:sz w:val="20"/>
          <w:szCs w:val="20"/>
          <w:color w:val="auto"/>
        </w:rPr>
      </w:pPr>
    </w:p>
    <w:p>
      <w:pPr>
        <w:ind w:left="114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(Do not check if a smaller</w:t>
      </w:r>
    </w:p>
    <w:p>
      <w:pPr>
        <w:ind w:left="240"/>
        <w:spacing w:after="0"/>
        <w:rPr>
          <w:sz w:val="20"/>
          <w:szCs w:val="20"/>
          <w:color w:val="auto"/>
        </w:rPr>
      </w:pPr>
      <w:r>
        <w:rPr>
          <w:rFonts w:ascii="Arial" w:cs="Arial" w:eastAsia="Arial" w:hAnsi="Arial"/>
          <w:sz w:val="16"/>
          <w:szCs w:val="16"/>
          <w:color w:val="auto"/>
        </w:rPr>
        <w:t>reporting company)</w:t>
      </w:r>
    </w:p>
    <w:p>
      <w:pPr>
        <w:spacing w:after="0" w:line="127" w:lineRule="exact"/>
        <w:rPr>
          <w:sz w:val="20"/>
          <w:szCs w:val="20"/>
          <w:color w:val="auto"/>
        </w:rPr>
      </w:pPr>
    </w:p>
    <w:p>
      <w:pPr>
        <w:sectPr>
          <w:pgSz w:w="11900" w:h="16838" w:orient="portrait"/>
          <w:cols w:equalWidth="0" w:num="2">
            <w:col w:w="3680" w:space="720"/>
            <w:col w:w="5819"/>
          </w:cols>
          <w:pgMar w:left="240" w:top="124" w:right="1440" w:bottom="0" w:gutter="0" w:footer="0" w:header="0"/>
          <w:type w:val="continuous"/>
        </w:sectPr>
      </w:pPr>
    </w:p>
    <w:p>
      <w:pPr>
        <w:ind w:left="28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o No: </w:t>
      </w:r>
      <w:r>
        <w:rPr>
          <w:rFonts w:ascii="MS PGothic" w:cs="MS PGothic" w:eastAsia="MS PGothic" w:hAnsi="MS PGothic"/>
          <w:sz w:val="16"/>
          <w:szCs w:val="16"/>
          <w:color w:val="auto"/>
        </w:rPr>
        <w:t>☑</w:t>
      </w:r>
    </w:p>
    <w:p>
      <w:pPr>
        <w:spacing w:after="0" w:line="210" w:lineRule="exact"/>
        <w:rPr>
          <w:sz w:val="20"/>
          <w:szCs w:val="20"/>
          <w:color w:val="auto"/>
        </w:rPr>
      </w:pPr>
    </w:p>
    <w:p>
      <w:pPr>
        <w:ind w:left="280" w:right="1779"/>
        <w:spacing w:after="0" w:line="241" w:lineRule="auto"/>
        <w:rPr>
          <w:sz w:val="20"/>
          <w:szCs w:val="20"/>
          <w:color w:val="auto"/>
        </w:rPr>
      </w:pPr>
      <w:r>
        <w:rPr>
          <w:rFonts w:ascii="Arial" w:cs="Arial" w:eastAsia="Arial" w:hAnsi="Arial"/>
          <w:sz w:val="16"/>
          <w:szCs w:val="16"/>
          <w:color w:val="auto"/>
        </w:rPr>
        <w:t>As of June 30, 2009 (the last business day of the registrant’s most recently completed second fiscal quarter), 131,241,753 shares of the registrant’s common stock, par value $.06 per share, were outstanding. The aggregate market value of the common stock held by non-affiliates of the registrant (i.e., excluding shares held by executive officers, directors, and control persons as defined in Rule 405 (17 CFR 203.405) on that date was $1,522,404,335 computed at the closing price on that date.</w:t>
      </w:r>
    </w:p>
    <w:p>
      <w:pPr>
        <w:spacing w:after="0" w:line="145" w:lineRule="exact"/>
        <w:rPr>
          <w:sz w:val="20"/>
          <w:szCs w:val="20"/>
          <w:color w:val="auto"/>
        </w:rPr>
      </w:pPr>
    </w:p>
    <w:p>
      <w:pPr>
        <w:ind w:left="280" w:right="2099"/>
        <w:spacing w:after="0" w:line="251" w:lineRule="auto"/>
        <w:rPr>
          <w:sz w:val="20"/>
          <w:szCs w:val="20"/>
          <w:color w:val="auto"/>
        </w:rPr>
      </w:pPr>
      <w:r>
        <w:rPr>
          <w:rFonts w:ascii="Arial" w:cs="Arial" w:eastAsia="Arial" w:hAnsi="Arial"/>
          <w:sz w:val="16"/>
          <w:szCs w:val="16"/>
          <w:color w:val="auto"/>
        </w:rPr>
        <w:t>As of February 9, 2010, 138,931,893 shares of the registrant’s common stock, par value $.06 per share, were outstanding.</w:t>
      </w:r>
    </w:p>
    <w:p>
      <w:pPr>
        <w:spacing w:after="0" w:line="150" w:lineRule="exact"/>
        <w:rPr>
          <w:sz w:val="20"/>
          <w:szCs w:val="20"/>
          <w:color w:val="auto"/>
        </w:rPr>
      </w:pPr>
    </w:p>
    <w:p>
      <w:pPr>
        <w:ind w:left="280" w:right="2139"/>
        <w:spacing w:after="0" w:line="251" w:lineRule="auto"/>
        <w:rPr>
          <w:sz w:val="20"/>
          <w:szCs w:val="20"/>
          <w:color w:val="auto"/>
        </w:rPr>
      </w:pPr>
      <w:r>
        <w:rPr>
          <w:rFonts w:ascii="Arial" w:cs="Arial" w:eastAsia="Arial" w:hAnsi="Arial"/>
          <w:sz w:val="16"/>
          <w:szCs w:val="16"/>
          <w:color w:val="auto"/>
        </w:rPr>
        <w:t>Portions of the Company’s Proxy Statement for its 2010 Annual Meeting of Shareholders are incorporated by reference into Part III.</w:t>
      </w:r>
    </w:p>
    <w:p>
      <w:pPr>
        <w:sectPr>
          <w:pgSz w:w="11900" w:h="16838" w:orient="portrait"/>
          <w:cols w:equalWidth="0" w:num="1">
            <w:col w:w="10219"/>
          </w:cols>
          <w:pgMar w:left="240" w:top="124" w:right="1440" w:bottom="0" w:gutter="0" w:footer="0" w:header="0"/>
          <w:type w:val="continuous"/>
        </w:sectPr>
      </w:pPr>
    </w:p>
    <w:bookmarkStart w:id="2" w:name="page3"/>
    <w:bookmarkEnd w:id="2"/>
    <w:p>
      <w:pPr>
        <w:ind w:left="2120"/>
        <w:spacing w:after="0"/>
        <w:rPr>
          <w:sz w:val="20"/>
          <w:szCs w:val="20"/>
          <w:color w:val="auto"/>
        </w:rPr>
      </w:pPr>
      <w:r>
        <w:rPr>
          <w:rFonts w:ascii="Arial" w:cs="Arial" w:eastAsia="Arial" w:hAnsi="Arial"/>
          <w:sz w:val="16"/>
          <w:szCs w:val="16"/>
          <w:color w:val="auto"/>
        </w:rPr>
        <w:t>Exhibit Index located at Page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114935</wp:posOffset>
            </wp:positionV>
            <wp:extent cx="5331460" cy="311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31460" cy="31115"/>
                    </a:xfrm>
                    <a:prstGeom prst="rect">
                      <a:avLst/>
                    </a:prstGeom>
                    <a:noFill/>
                  </pic:spPr>
                </pic:pic>
              </a:graphicData>
            </a:graphic>
          </wp:anchor>
        </w:drawing>
        <w:drawing>
          <wp:anchor simplePos="0" relativeHeight="251657728" behindDoc="1" locked="0" layoutInCell="0" allowOverlap="1">
            <wp:simplePos x="0" y="0"/>
            <wp:positionH relativeFrom="column">
              <wp:posOffset>-765810</wp:posOffset>
            </wp:positionH>
            <wp:positionV relativeFrom="paragraph">
              <wp:posOffset>706120</wp:posOffset>
            </wp:positionV>
            <wp:extent cx="726503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3" w:name="page4"/>
    <w:bookmarkEnd w:id="3"/>
    <w:p>
      <w:pPr>
        <w:ind w:left="2740"/>
        <w:spacing w:after="0"/>
        <w:rPr>
          <w:sz w:val="20"/>
          <w:szCs w:val="20"/>
          <w:color w:val="auto"/>
        </w:rPr>
      </w:pPr>
      <w:r>
        <w:rPr>
          <w:rFonts w:ascii="Arial" w:cs="Arial" w:eastAsia="Arial" w:hAnsi="Arial"/>
          <w:sz w:val="19"/>
          <w:szCs w:val="19"/>
          <w:b w:val="1"/>
          <w:bCs w:val="1"/>
          <w:u w:val="single" w:color="auto"/>
          <w:color w:val="auto"/>
        </w:rPr>
        <w:t>TABLE OF CONTENTS</w:t>
      </w:r>
    </w:p>
    <w:p>
      <w:pPr>
        <w:spacing w:after="0" w:line="219" w:lineRule="exact"/>
        <w:rPr>
          <w:sz w:val="20"/>
          <w:szCs w:val="20"/>
          <w:color w:val="auto"/>
        </w:rPr>
      </w:pPr>
    </w:p>
    <w:p>
      <w:pPr>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Part I</w:t>
        </w:r>
      </w:hyperlink>
    </w:p>
    <w:p>
      <w:pPr>
        <w:ind w:left="240"/>
        <w:spacing w:after="0"/>
        <w:rPr>
          <w:rFonts w:ascii="Arial" w:cs="Arial" w:eastAsia="Arial" w:hAnsi="Arial"/>
          <w:sz w:val="19"/>
          <w:szCs w:val="19"/>
          <w:u w:val="single" w:color="auto"/>
          <w:color w:val="0000EE"/>
        </w:rPr>
      </w:pPr>
      <w:hyperlink w:anchor="page5">
        <w:r>
          <w:rPr>
            <w:rFonts w:ascii="Arial" w:cs="Arial" w:eastAsia="Arial" w:hAnsi="Arial"/>
            <w:sz w:val="19"/>
            <w:szCs w:val="19"/>
            <w:u w:val="single" w:color="auto"/>
            <w:color w:val="0000EE"/>
          </w:rPr>
          <w:t>Item 1. Business</w:t>
        </w:r>
      </w:hyperlink>
    </w:p>
    <w:p>
      <w:pPr>
        <w:ind w:left="240"/>
        <w:spacing w:after="0"/>
        <w:rPr>
          <w:rFonts w:ascii="Arial" w:cs="Arial" w:eastAsia="Arial" w:hAnsi="Arial"/>
          <w:sz w:val="19"/>
          <w:szCs w:val="19"/>
          <w:u w:val="single" w:color="auto"/>
          <w:color w:val="0000EE"/>
        </w:rPr>
      </w:pPr>
      <w:hyperlink w:anchor="page14">
        <w:r>
          <w:rPr>
            <w:rFonts w:ascii="Arial" w:cs="Arial" w:eastAsia="Arial" w:hAnsi="Arial"/>
            <w:sz w:val="19"/>
            <w:szCs w:val="19"/>
            <w:u w:val="single" w:color="auto"/>
            <w:color w:val="0000EE"/>
          </w:rPr>
          <w:t>Item 1A. Risk Factors</w:t>
        </w:r>
      </w:hyperlink>
    </w:p>
    <w:p>
      <w:pPr>
        <w:ind w:left="240"/>
        <w:spacing w:after="0"/>
        <w:rPr>
          <w:rFonts w:ascii="Arial" w:cs="Arial" w:eastAsia="Arial" w:hAnsi="Arial"/>
          <w:sz w:val="19"/>
          <w:szCs w:val="19"/>
          <w:u w:val="single" w:color="auto"/>
          <w:color w:val="0000EE"/>
        </w:rPr>
      </w:pPr>
      <w:hyperlink w:anchor="page17">
        <w:r>
          <w:rPr>
            <w:rFonts w:ascii="Arial" w:cs="Arial" w:eastAsia="Arial" w:hAnsi="Arial"/>
            <w:sz w:val="19"/>
            <w:szCs w:val="19"/>
            <w:u w:val="single" w:color="auto"/>
            <w:color w:val="0000EE"/>
          </w:rPr>
          <w:t>Item 1B. Unresolved Staff Comments</w:t>
        </w:r>
      </w:hyperlink>
    </w:p>
    <w:p>
      <w:pPr>
        <w:ind w:left="240"/>
        <w:spacing w:after="0"/>
        <w:rPr>
          <w:rFonts w:ascii="Arial" w:cs="Arial" w:eastAsia="Arial" w:hAnsi="Arial"/>
          <w:sz w:val="19"/>
          <w:szCs w:val="19"/>
          <w:u w:val="single" w:color="auto"/>
          <w:color w:val="0000EE"/>
        </w:rPr>
      </w:pPr>
      <w:hyperlink w:anchor="page17">
        <w:r>
          <w:rPr>
            <w:rFonts w:ascii="Arial" w:cs="Arial" w:eastAsia="Arial" w:hAnsi="Arial"/>
            <w:sz w:val="19"/>
            <w:szCs w:val="19"/>
            <w:u w:val="single" w:color="auto"/>
            <w:color w:val="0000EE"/>
          </w:rPr>
          <w:t>Item 2. Properties</w:t>
        </w:r>
      </w:hyperlink>
    </w:p>
    <w:p>
      <w:pPr>
        <w:ind w:left="240"/>
        <w:spacing w:after="0"/>
        <w:rPr>
          <w:rFonts w:ascii="Arial" w:cs="Arial" w:eastAsia="Arial" w:hAnsi="Arial"/>
          <w:sz w:val="19"/>
          <w:szCs w:val="19"/>
          <w:u w:val="single" w:color="auto"/>
          <w:color w:val="0000EE"/>
        </w:rPr>
      </w:pPr>
      <w:hyperlink w:anchor="page18">
        <w:r>
          <w:rPr>
            <w:rFonts w:ascii="Arial" w:cs="Arial" w:eastAsia="Arial" w:hAnsi="Arial"/>
            <w:sz w:val="19"/>
            <w:szCs w:val="19"/>
            <w:u w:val="single" w:color="auto"/>
            <w:color w:val="0000EE"/>
          </w:rPr>
          <w:t>Item 3. Legal Proceedings</w:t>
        </w:r>
      </w:hyperlink>
    </w:p>
    <w:p>
      <w:pPr>
        <w:ind w:left="240"/>
        <w:spacing w:after="0"/>
        <w:rPr>
          <w:rFonts w:ascii="Arial" w:cs="Arial" w:eastAsia="Arial" w:hAnsi="Arial"/>
          <w:sz w:val="19"/>
          <w:szCs w:val="19"/>
          <w:u w:val="single" w:color="auto"/>
          <w:color w:val="0000EE"/>
        </w:rPr>
      </w:pPr>
      <w:hyperlink w:anchor="page18">
        <w:r>
          <w:rPr>
            <w:rFonts w:ascii="Arial" w:cs="Arial" w:eastAsia="Arial" w:hAnsi="Arial"/>
            <w:sz w:val="19"/>
            <w:szCs w:val="19"/>
            <w:u w:val="single" w:color="auto"/>
            <w:color w:val="0000EE"/>
          </w:rPr>
          <w:t>Item 4. Submission of Matters to a Vote of Security Holders</w:t>
        </w:r>
      </w:hyperlink>
    </w:p>
    <w:p>
      <w:pPr>
        <w:spacing w:after="0"/>
        <w:rPr>
          <w:rFonts w:ascii="Arial" w:cs="Arial" w:eastAsia="Arial" w:hAnsi="Arial"/>
          <w:sz w:val="19"/>
          <w:szCs w:val="19"/>
          <w:u w:val="single" w:color="auto"/>
          <w:color w:val="0000EE"/>
        </w:rPr>
      </w:pPr>
      <w:hyperlink w:anchor="page19">
        <w:r>
          <w:rPr>
            <w:rFonts w:ascii="Arial" w:cs="Arial" w:eastAsia="Arial" w:hAnsi="Arial"/>
            <w:sz w:val="19"/>
            <w:szCs w:val="19"/>
            <w:u w:val="single" w:color="auto"/>
            <w:color w:val="0000EE"/>
          </w:rPr>
          <w:t>PART II</w:t>
        </w:r>
      </w:hyperlink>
    </w:p>
    <w:p>
      <w:pPr>
        <w:ind w:left="240"/>
        <w:spacing w:after="0"/>
        <w:rPr>
          <w:rFonts w:ascii="Arial" w:cs="Arial" w:eastAsia="Arial" w:hAnsi="Arial"/>
          <w:sz w:val="19"/>
          <w:szCs w:val="19"/>
          <w:u w:val="single" w:color="auto"/>
          <w:color w:val="0000EE"/>
        </w:rPr>
      </w:pPr>
      <w:hyperlink w:anchor="page19">
        <w:r>
          <w:rPr>
            <w:rFonts w:ascii="Arial" w:cs="Arial" w:eastAsia="Arial" w:hAnsi="Arial"/>
            <w:sz w:val="19"/>
            <w:szCs w:val="19"/>
            <w:u w:val="single" w:color="auto"/>
            <w:color w:val="0000EE"/>
          </w:rPr>
          <w:t>Item 5. Market for the Registrant’s Common Equity, Related Stockholder Matters and</w:t>
        </w:r>
      </w:hyperlink>
    </w:p>
    <w:p>
      <w:pPr>
        <w:ind w:left="240"/>
        <w:spacing w:after="0"/>
        <w:rPr>
          <w:rFonts w:ascii="Arial" w:cs="Arial" w:eastAsia="Arial" w:hAnsi="Arial"/>
          <w:sz w:val="19"/>
          <w:szCs w:val="19"/>
          <w:u w:val="single" w:color="auto"/>
          <w:color w:val="0000EE"/>
        </w:rPr>
      </w:pPr>
      <w:hyperlink w:anchor="page19">
        <w:r>
          <w:rPr>
            <w:rFonts w:ascii="Arial" w:cs="Arial" w:eastAsia="Arial" w:hAnsi="Arial"/>
            <w:sz w:val="19"/>
            <w:szCs w:val="19"/>
            <w:u w:val="single" w:color="auto"/>
            <w:color w:val="0000EE"/>
          </w:rPr>
          <w:t>Issuer Purchases of Equity Securities</w:t>
        </w:r>
      </w:hyperlink>
    </w:p>
    <w:p>
      <w:pPr>
        <w:ind w:left="240"/>
        <w:spacing w:after="0"/>
        <w:rPr>
          <w:rFonts w:ascii="Arial" w:cs="Arial" w:eastAsia="Arial" w:hAnsi="Arial"/>
          <w:sz w:val="19"/>
          <w:szCs w:val="19"/>
          <w:u w:val="single" w:color="auto"/>
          <w:color w:val="0000EE"/>
        </w:rPr>
      </w:pPr>
      <w:hyperlink w:anchor="page20">
        <w:r>
          <w:rPr>
            <w:rFonts w:ascii="Arial" w:cs="Arial" w:eastAsia="Arial" w:hAnsi="Arial"/>
            <w:sz w:val="19"/>
            <w:szCs w:val="19"/>
            <w:u w:val="single" w:color="auto"/>
            <w:color w:val="0000EE"/>
          </w:rPr>
          <w:t>Item 6. Selected Financial Data</w:t>
        </w:r>
      </w:hyperlink>
    </w:p>
    <w:p>
      <w:pPr>
        <w:ind w:left="240" w:right="1999"/>
        <w:spacing w:after="0"/>
        <w:rPr>
          <w:rFonts w:ascii="Arial" w:cs="Arial" w:eastAsia="Arial" w:hAnsi="Arial"/>
          <w:sz w:val="19"/>
          <w:szCs w:val="19"/>
          <w:u w:val="single" w:color="auto"/>
          <w:color w:val="0000EE"/>
        </w:rPr>
      </w:pPr>
      <w:hyperlink w:anchor="page21">
        <w:r>
          <w:rPr>
            <w:rFonts w:ascii="Arial" w:cs="Arial" w:eastAsia="Arial" w:hAnsi="Arial"/>
            <w:sz w:val="19"/>
            <w:szCs w:val="19"/>
            <w:u w:val="single" w:color="auto"/>
            <w:color w:val="0000EE"/>
          </w:rPr>
          <w:t>Item 7. Management’s Discussion and Analysis of Financial Condition and Results of</w:t>
        </w:r>
      </w:hyperlink>
      <w:r>
        <w:rPr>
          <w:rFonts w:ascii="Arial" w:cs="Arial" w:eastAsia="Arial" w:hAnsi="Arial"/>
          <w:sz w:val="19"/>
          <w:szCs w:val="19"/>
          <w:u w:val="single" w:color="auto"/>
          <w:color w:val="0000EE"/>
        </w:rPr>
        <w:t xml:space="preserve"> </w:t>
      </w:r>
      <w:hyperlink w:anchor="page21">
        <w:r>
          <w:rPr>
            <w:rFonts w:ascii="Arial" w:cs="Arial" w:eastAsia="Arial" w:hAnsi="Arial"/>
            <w:sz w:val="19"/>
            <w:szCs w:val="19"/>
            <w:u w:val="single" w:color="auto"/>
            <w:color w:val="0000EE"/>
          </w:rPr>
          <w:t>Operations</w:t>
        </w:r>
      </w:hyperlink>
    </w:p>
    <w:p>
      <w:pPr>
        <w:ind w:left="240" w:right="3419"/>
        <w:spacing w:after="0"/>
        <w:rPr>
          <w:rFonts w:ascii="Arial" w:cs="Arial" w:eastAsia="Arial" w:hAnsi="Arial"/>
          <w:sz w:val="19"/>
          <w:szCs w:val="19"/>
          <w:u w:val="single" w:color="auto"/>
          <w:color w:val="0000EE"/>
        </w:rPr>
      </w:pPr>
      <w:hyperlink w:anchor="page27">
        <w:r>
          <w:rPr>
            <w:rFonts w:ascii="Arial" w:cs="Arial" w:eastAsia="Arial" w:hAnsi="Arial"/>
            <w:sz w:val="19"/>
            <w:szCs w:val="19"/>
            <w:u w:val="single" w:color="auto"/>
            <w:color w:val="0000EE"/>
          </w:rPr>
          <w:t>Item 7A. Quantitative and Qualitative Disclosures About Market Risk</w:t>
        </w:r>
      </w:hyperlink>
      <w:r>
        <w:rPr>
          <w:rFonts w:ascii="Arial" w:cs="Arial" w:eastAsia="Arial" w:hAnsi="Arial"/>
          <w:sz w:val="19"/>
          <w:szCs w:val="19"/>
          <w:u w:val="single" w:color="auto"/>
          <w:color w:val="0000EE"/>
        </w:rPr>
        <w:t xml:space="preserve"> </w:t>
      </w:r>
      <w:hyperlink w:anchor="page27">
        <w:r>
          <w:rPr>
            <w:rFonts w:ascii="Arial" w:cs="Arial" w:eastAsia="Arial" w:hAnsi="Arial"/>
            <w:sz w:val="19"/>
            <w:szCs w:val="19"/>
            <w:u w:val="single" w:color="auto"/>
            <w:color w:val="0000EE"/>
          </w:rPr>
          <w:t>Item 8. Financial Statements and Supplementary Data</w:t>
        </w:r>
      </w:hyperlink>
    </w:p>
    <w:p>
      <w:pPr>
        <w:ind w:left="240" w:right="2719"/>
        <w:spacing w:after="0"/>
        <w:rPr>
          <w:rFonts w:ascii="Arial" w:cs="Arial" w:eastAsia="Arial" w:hAnsi="Arial"/>
          <w:sz w:val="19"/>
          <w:szCs w:val="19"/>
          <w:u w:val="single" w:color="auto"/>
          <w:color w:val="0000EE"/>
        </w:rPr>
      </w:pPr>
      <w:hyperlink w:anchor="page28">
        <w:r>
          <w:rPr>
            <w:rFonts w:ascii="Arial" w:cs="Arial" w:eastAsia="Arial" w:hAnsi="Arial"/>
            <w:sz w:val="19"/>
            <w:szCs w:val="19"/>
            <w:u w:val="single" w:color="auto"/>
            <w:color w:val="0000EE"/>
          </w:rPr>
          <w:t>Item 9. Changes in and Disagreements with Accountants on Accounting and</w:t>
        </w:r>
      </w:hyperlink>
      <w:r>
        <w:rPr>
          <w:rFonts w:ascii="Arial" w:cs="Arial" w:eastAsia="Arial" w:hAnsi="Arial"/>
          <w:sz w:val="19"/>
          <w:szCs w:val="19"/>
          <w:u w:val="single" w:color="auto"/>
          <w:color w:val="0000EE"/>
        </w:rPr>
        <w:t xml:space="preserve"> </w:t>
      </w:r>
      <w:hyperlink w:anchor="page28">
        <w:r>
          <w:rPr>
            <w:rFonts w:ascii="Arial" w:cs="Arial" w:eastAsia="Arial" w:hAnsi="Arial"/>
            <w:sz w:val="19"/>
            <w:szCs w:val="19"/>
            <w:u w:val="single" w:color="auto"/>
            <w:color w:val="0000EE"/>
          </w:rPr>
          <w:t>Financial Disclosure</w:t>
        </w:r>
      </w:hyperlink>
    </w:p>
    <w:p>
      <w:pPr>
        <w:ind w:left="240"/>
        <w:spacing w:after="0"/>
        <w:rPr>
          <w:rFonts w:ascii="Arial" w:cs="Arial" w:eastAsia="Arial" w:hAnsi="Arial"/>
          <w:sz w:val="19"/>
          <w:szCs w:val="19"/>
          <w:u w:val="single" w:color="auto"/>
          <w:color w:val="0000EE"/>
        </w:rPr>
      </w:pPr>
      <w:hyperlink w:anchor="page28">
        <w:r>
          <w:rPr>
            <w:rFonts w:ascii="Arial" w:cs="Arial" w:eastAsia="Arial" w:hAnsi="Arial"/>
            <w:sz w:val="19"/>
            <w:szCs w:val="19"/>
            <w:u w:val="single" w:color="auto"/>
            <w:color w:val="0000EE"/>
          </w:rPr>
          <w:t>Item 9A. Controls and Procedures</w:t>
        </w:r>
      </w:hyperlink>
    </w:p>
    <w:p>
      <w:pPr>
        <w:ind w:left="240"/>
        <w:spacing w:after="0"/>
        <w:rPr>
          <w:rFonts w:ascii="Arial" w:cs="Arial" w:eastAsia="Arial" w:hAnsi="Arial"/>
          <w:sz w:val="19"/>
          <w:szCs w:val="19"/>
          <w:u w:val="single" w:color="auto"/>
          <w:color w:val="0000EE"/>
        </w:rPr>
      </w:pPr>
      <w:hyperlink w:anchor="page28">
        <w:r>
          <w:rPr>
            <w:rFonts w:ascii="Arial" w:cs="Arial" w:eastAsia="Arial" w:hAnsi="Arial"/>
            <w:sz w:val="19"/>
            <w:szCs w:val="19"/>
            <w:u w:val="single" w:color="auto"/>
            <w:color w:val="0000EE"/>
          </w:rPr>
          <w:t>Item 9B. Other Information</w:t>
        </w:r>
      </w:hyperlink>
    </w:p>
    <w:p>
      <w:pPr>
        <w:spacing w:after="0"/>
        <w:rPr>
          <w:rFonts w:ascii="Arial" w:cs="Arial" w:eastAsia="Arial" w:hAnsi="Arial"/>
          <w:sz w:val="19"/>
          <w:szCs w:val="19"/>
          <w:u w:val="single" w:color="auto"/>
          <w:color w:val="0000EE"/>
        </w:rPr>
      </w:pPr>
      <w:hyperlink w:anchor="page29">
        <w:r>
          <w:rPr>
            <w:rFonts w:ascii="Arial" w:cs="Arial" w:eastAsia="Arial" w:hAnsi="Arial"/>
            <w:sz w:val="19"/>
            <w:szCs w:val="19"/>
            <w:u w:val="single" w:color="auto"/>
            <w:color w:val="0000EE"/>
          </w:rPr>
          <w:t>PART III</w:t>
        </w:r>
      </w:hyperlink>
    </w:p>
    <w:p>
      <w:pPr>
        <w:ind w:left="240" w:right="3659"/>
        <w:spacing w:after="0"/>
        <w:rPr>
          <w:rFonts w:ascii="Arial" w:cs="Arial" w:eastAsia="Arial" w:hAnsi="Arial"/>
          <w:sz w:val="19"/>
          <w:szCs w:val="19"/>
          <w:u w:val="single" w:color="auto"/>
          <w:color w:val="0000EE"/>
        </w:rPr>
      </w:pPr>
      <w:hyperlink w:anchor="page29">
        <w:r>
          <w:rPr>
            <w:rFonts w:ascii="Arial" w:cs="Arial" w:eastAsia="Arial" w:hAnsi="Arial"/>
            <w:sz w:val="19"/>
            <w:szCs w:val="19"/>
            <w:u w:val="single" w:color="auto"/>
            <w:color w:val="0000EE"/>
          </w:rPr>
          <w:t>Item 10. Directors, Executive Officers and Corporate Governance</w:t>
        </w:r>
      </w:hyperlink>
      <w:r>
        <w:rPr>
          <w:rFonts w:ascii="Arial" w:cs="Arial" w:eastAsia="Arial" w:hAnsi="Arial"/>
          <w:sz w:val="19"/>
          <w:szCs w:val="19"/>
          <w:u w:val="single" w:color="auto"/>
          <w:color w:val="0000EE"/>
        </w:rPr>
        <w:t xml:space="preserve"> </w:t>
      </w:r>
      <w:hyperlink w:anchor="page29">
        <w:r>
          <w:rPr>
            <w:rFonts w:ascii="Arial" w:cs="Arial" w:eastAsia="Arial" w:hAnsi="Arial"/>
            <w:sz w:val="19"/>
            <w:szCs w:val="19"/>
            <w:u w:val="single" w:color="auto"/>
            <w:color w:val="0000EE"/>
          </w:rPr>
          <w:t>Item 11. Executive Compensation</w:t>
        </w:r>
      </w:hyperlink>
    </w:p>
    <w:p>
      <w:pPr>
        <w:ind w:left="240" w:right="2379"/>
        <w:spacing w:after="0"/>
        <w:rPr>
          <w:rFonts w:ascii="Arial" w:cs="Arial" w:eastAsia="Arial" w:hAnsi="Arial"/>
          <w:sz w:val="19"/>
          <w:szCs w:val="19"/>
          <w:u w:val="single" w:color="auto"/>
          <w:color w:val="0000EE"/>
        </w:rPr>
      </w:pPr>
      <w:hyperlink w:anchor="page29">
        <w:r>
          <w:rPr>
            <w:rFonts w:ascii="Arial" w:cs="Arial" w:eastAsia="Arial" w:hAnsi="Arial"/>
            <w:sz w:val="19"/>
            <w:szCs w:val="19"/>
            <w:u w:val="single" w:color="auto"/>
            <w:color w:val="0000EE"/>
          </w:rPr>
          <w:t>Item 12. Security Ownership of Certain Beneficial Owners and Management and</w:t>
        </w:r>
      </w:hyperlink>
      <w:r>
        <w:rPr>
          <w:rFonts w:ascii="Arial" w:cs="Arial" w:eastAsia="Arial" w:hAnsi="Arial"/>
          <w:sz w:val="19"/>
          <w:szCs w:val="19"/>
          <w:u w:val="single" w:color="auto"/>
          <w:color w:val="0000EE"/>
        </w:rPr>
        <w:t xml:space="preserve"> </w:t>
      </w:r>
      <w:hyperlink w:anchor="page29">
        <w:r>
          <w:rPr>
            <w:rFonts w:ascii="Arial" w:cs="Arial" w:eastAsia="Arial" w:hAnsi="Arial"/>
            <w:sz w:val="19"/>
            <w:szCs w:val="19"/>
            <w:u w:val="single" w:color="auto"/>
            <w:color w:val="0000EE"/>
          </w:rPr>
          <w:t>Related Stockholder Matters</w:t>
        </w:r>
      </w:hyperlink>
    </w:p>
    <w:p>
      <w:pPr>
        <w:ind w:left="240" w:right="1959"/>
        <w:spacing w:after="0"/>
        <w:rPr>
          <w:rFonts w:ascii="Arial" w:cs="Arial" w:eastAsia="Arial" w:hAnsi="Arial"/>
          <w:sz w:val="19"/>
          <w:szCs w:val="19"/>
          <w:u w:val="single" w:color="auto"/>
          <w:color w:val="0000EE"/>
        </w:rPr>
      </w:pPr>
      <w:hyperlink w:anchor="page29">
        <w:r>
          <w:rPr>
            <w:rFonts w:ascii="Arial" w:cs="Arial" w:eastAsia="Arial" w:hAnsi="Arial"/>
            <w:sz w:val="19"/>
            <w:szCs w:val="19"/>
            <w:u w:val="single" w:color="auto"/>
            <w:color w:val="0000EE"/>
          </w:rPr>
          <w:t>Item 13. Certain Relationships and Related Transactions, and Director Independence</w:t>
        </w:r>
      </w:hyperlink>
      <w:r>
        <w:rPr>
          <w:rFonts w:ascii="Arial" w:cs="Arial" w:eastAsia="Arial" w:hAnsi="Arial"/>
          <w:sz w:val="19"/>
          <w:szCs w:val="19"/>
          <w:u w:val="single" w:color="auto"/>
          <w:color w:val="0000EE"/>
        </w:rPr>
        <w:t xml:space="preserve"> </w:t>
      </w:r>
      <w:hyperlink w:anchor="page29">
        <w:r>
          <w:rPr>
            <w:rFonts w:ascii="Arial" w:cs="Arial" w:eastAsia="Arial" w:hAnsi="Arial"/>
            <w:sz w:val="19"/>
            <w:szCs w:val="19"/>
            <w:u w:val="single" w:color="auto"/>
            <w:color w:val="0000EE"/>
          </w:rPr>
          <w:t>Item 14. Principal Accounting Fee and Services</w:t>
        </w:r>
      </w:hyperlink>
    </w:p>
    <w:p>
      <w:pPr>
        <w:ind w:right="2799" w:firstLine="231"/>
        <w:spacing w:after="0"/>
        <w:rPr>
          <w:rFonts w:ascii="Arial" w:cs="Arial" w:eastAsia="Arial" w:hAnsi="Arial"/>
          <w:sz w:val="19"/>
          <w:szCs w:val="19"/>
          <w:u w:val="single" w:color="auto"/>
          <w:color w:val="0000EE"/>
        </w:rPr>
      </w:pPr>
      <w:hyperlink w:anchor="page30">
        <w:r>
          <w:rPr>
            <w:rFonts w:ascii="Arial" w:cs="Arial" w:eastAsia="Arial" w:hAnsi="Arial"/>
            <w:sz w:val="19"/>
            <w:szCs w:val="19"/>
            <w:u w:val="single" w:color="auto"/>
            <w:color w:val="0000EE"/>
          </w:rPr>
          <w:t>Item 15. Exhibits, Financial Statement Schedules and Reports on Form 8-K</w:t>
        </w:r>
      </w:hyperlink>
      <w:r>
        <w:rPr>
          <w:rFonts w:ascii="Arial" w:cs="Arial" w:eastAsia="Arial" w:hAnsi="Arial"/>
          <w:sz w:val="19"/>
          <w:szCs w:val="19"/>
          <w:u w:val="single" w:color="auto"/>
          <w:color w:val="0000EE"/>
        </w:rPr>
        <w:t xml:space="preserve"> </w:t>
      </w:r>
      <w:hyperlink w:anchor="page31">
        <w:r>
          <w:rPr>
            <w:rFonts w:ascii="Arial" w:cs="Arial" w:eastAsia="Arial" w:hAnsi="Arial"/>
            <w:sz w:val="19"/>
            <w:szCs w:val="19"/>
            <w:u w:val="single" w:color="auto"/>
            <w:color w:val="0000EE"/>
          </w:rPr>
          <w:t>SIGNATURES</w:t>
        </w:r>
      </w:hyperlink>
    </w:p>
    <w:p>
      <w:pPr>
        <w:ind w:left="480"/>
        <w:spacing w:after="0"/>
        <w:rPr>
          <w:rFonts w:ascii="Arial" w:cs="Arial" w:eastAsia="Arial" w:hAnsi="Arial"/>
          <w:sz w:val="19"/>
          <w:szCs w:val="19"/>
          <w:u w:val="single" w:color="auto"/>
          <w:color w:val="0000EE"/>
        </w:rPr>
      </w:pPr>
      <w:hyperlink w:anchor="page34">
        <w:r>
          <w:rPr>
            <w:rFonts w:ascii="Arial" w:cs="Arial" w:eastAsia="Arial" w:hAnsi="Arial"/>
            <w:sz w:val="19"/>
            <w:szCs w:val="19"/>
            <w:u w:val="single" w:color="auto"/>
            <w:color w:val="0000EE"/>
          </w:rPr>
          <w:t>CONSOLIDATED BALANCE SHEETS</w:t>
        </w:r>
      </w:hyperlink>
    </w:p>
    <w:p>
      <w:pPr>
        <w:ind w:left="480"/>
        <w:spacing w:after="0"/>
        <w:rPr>
          <w:rFonts w:ascii="Arial" w:cs="Arial" w:eastAsia="Arial" w:hAnsi="Arial"/>
          <w:sz w:val="19"/>
          <w:szCs w:val="19"/>
          <w:u w:val="single" w:color="auto"/>
          <w:color w:val="0000EE"/>
        </w:rPr>
      </w:pPr>
      <w:hyperlink w:anchor="page35">
        <w:r>
          <w:rPr>
            <w:rFonts w:ascii="Arial" w:cs="Arial" w:eastAsia="Arial" w:hAnsi="Arial"/>
            <w:sz w:val="19"/>
            <w:szCs w:val="19"/>
            <w:u w:val="single" w:color="auto"/>
            <w:color w:val="0000EE"/>
          </w:rPr>
          <w:t>CONSOLIDATED STATEMENTS OF INCOME</w:t>
        </w:r>
      </w:hyperlink>
    </w:p>
    <w:p>
      <w:pPr>
        <w:ind w:left="480" w:right="2979"/>
        <w:spacing w:after="0"/>
        <w:rPr>
          <w:rFonts w:ascii="Arial" w:cs="Arial" w:eastAsia="Arial" w:hAnsi="Arial"/>
          <w:sz w:val="19"/>
          <w:szCs w:val="19"/>
          <w:u w:val="single" w:color="auto"/>
          <w:color w:val="0000EE"/>
        </w:rPr>
      </w:pPr>
      <w:hyperlink w:anchor="page36">
        <w:r>
          <w:rPr>
            <w:rFonts w:ascii="Arial" w:cs="Arial" w:eastAsia="Arial" w:hAnsi="Arial"/>
            <w:sz w:val="19"/>
            <w:szCs w:val="19"/>
            <w:u w:val="single" w:color="auto"/>
            <w:color w:val="0000EE"/>
          </w:rPr>
          <w:t>CONSOLIDATED STATEMENT OF SHAREHOLDERS’ INVESTMENT</w:t>
        </w:r>
      </w:hyperlink>
      <w:r>
        <w:rPr>
          <w:rFonts w:ascii="Arial" w:cs="Arial" w:eastAsia="Arial" w:hAnsi="Arial"/>
          <w:sz w:val="19"/>
          <w:szCs w:val="19"/>
          <w:u w:val="single" w:color="auto"/>
          <w:color w:val="0000EE"/>
        </w:rPr>
        <w:t xml:space="preserve"> </w:t>
      </w:r>
      <w:hyperlink w:anchor="page38">
        <w:r>
          <w:rPr>
            <w:rFonts w:ascii="Arial" w:cs="Arial" w:eastAsia="Arial" w:hAnsi="Arial"/>
            <w:sz w:val="19"/>
            <w:szCs w:val="19"/>
            <w:u w:val="single" w:color="auto"/>
            <w:color w:val="0000EE"/>
          </w:rPr>
          <w:t>CONSOLIDATED STATEMENTS OF CASH FLOWS</w:t>
        </w:r>
      </w:hyperlink>
    </w:p>
    <w:p>
      <w:pPr>
        <w:ind w:left="480"/>
        <w:spacing w:after="0"/>
        <w:rPr>
          <w:rFonts w:ascii="Arial" w:cs="Arial" w:eastAsia="Arial" w:hAnsi="Arial"/>
          <w:sz w:val="19"/>
          <w:szCs w:val="19"/>
          <w:u w:val="single" w:color="auto"/>
          <w:color w:val="0000EE"/>
        </w:rPr>
      </w:pPr>
      <w:hyperlink w:anchor="page39">
        <w:r>
          <w:rPr>
            <w:rFonts w:ascii="Arial" w:cs="Arial" w:eastAsia="Arial" w:hAnsi="Arial"/>
            <w:sz w:val="19"/>
            <w:szCs w:val="19"/>
            <w:u w:val="single" w:color="auto"/>
            <w:color w:val="0000EE"/>
          </w:rPr>
          <w:t>NOTES TO CONSOLIDATED FINANCIAL STATEMENTS</w:t>
        </w:r>
      </w:hyperlink>
    </w:p>
    <w:p>
      <w:pPr>
        <w:spacing w:after="0"/>
        <w:rPr>
          <w:rFonts w:ascii="Arial" w:cs="Arial" w:eastAsia="Arial" w:hAnsi="Arial"/>
          <w:sz w:val="19"/>
          <w:szCs w:val="19"/>
          <w:u w:val="single" w:color="auto"/>
          <w:color w:val="0000EE"/>
        </w:rPr>
      </w:pPr>
      <w:hyperlink w:anchor="page55">
        <w:r>
          <w:rPr>
            <w:rFonts w:ascii="Arial" w:cs="Arial" w:eastAsia="Arial" w:hAnsi="Arial"/>
            <w:sz w:val="19"/>
            <w:szCs w:val="19"/>
            <w:u w:val="single" w:color="auto"/>
            <w:color w:val="0000EE"/>
          </w:rPr>
          <w:t>EXHIBIT INDEX</w:t>
        </w:r>
      </w:hyperlink>
    </w:p>
    <w:p>
      <w:pPr>
        <w:spacing w:after="0"/>
        <w:rPr>
          <w:sz w:val="20"/>
          <w:szCs w:val="20"/>
          <w:color w:val="auto"/>
        </w:rPr>
      </w:pPr>
      <w:r>
        <w:rPr>
          <w:rFonts w:ascii="Arial" w:cs="Arial" w:eastAsia="Arial" w:hAnsi="Arial"/>
          <w:sz w:val="19"/>
          <w:szCs w:val="19"/>
          <w:u w:val="single" w:color="auto"/>
          <w:color w:val="0000EE"/>
        </w:rPr>
        <w:t>Exhibit 21</w:t>
      </w:r>
    </w:p>
    <w:p>
      <w:pPr>
        <w:spacing w:after="0"/>
        <w:rPr>
          <w:sz w:val="20"/>
          <w:szCs w:val="20"/>
          <w:color w:val="auto"/>
        </w:rPr>
      </w:pPr>
      <w:r>
        <w:rPr>
          <w:rFonts w:ascii="Arial" w:cs="Arial" w:eastAsia="Arial" w:hAnsi="Arial"/>
          <w:sz w:val="19"/>
          <w:szCs w:val="19"/>
          <w:u w:val="single" w:color="auto"/>
          <w:color w:val="0000EE"/>
        </w:rPr>
        <w:t>Exhibit 23(a)</w:t>
      </w:r>
    </w:p>
    <w:p>
      <w:pPr>
        <w:spacing w:after="0"/>
        <w:rPr>
          <w:sz w:val="20"/>
          <w:szCs w:val="20"/>
          <w:color w:val="auto"/>
        </w:rPr>
      </w:pPr>
      <w:r>
        <w:rPr>
          <w:rFonts w:ascii="Arial" w:cs="Arial" w:eastAsia="Arial" w:hAnsi="Arial"/>
          <w:sz w:val="19"/>
          <w:szCs w:val="19"/>
          <w:u w:val="single" w:color="auto"/>
          <w:color w:val="0000EE"/>
        </w:rPr>
        <w:t>Exhibit 31.1</w:t>
      </w:r>
    </w:p>
    <w:p>
      <w:pPr>
        <w:spacing w:after="0"/>
        <w:rPr>
          <w:sz w:val="20"/>
          <w:szCs w:val="20"/>
          <w:color w:val="auto"/>
        </w:rPr>
      </w:pPr>
      <w:r>
        <w:rPr>
          <w:rFonts w:ascii="Arial" w:cs="Arial" w:eastAsia="Arial" w:hAnsi="Arial"/>
          <w:sz w:val="19"/>
          <w:szCs w:val="19"/>
          <w:u w:val="single" w:color="auto"/>
          <w:color w:val="0000EE"/>
        </w:rPr>
        <w:t>Exhibit 31.2</w:t>
      </w:r>
    </w:p>
    <w:p>
      <w:pPr>
        <w:spacing w:after="0"/>
        <w:rPr>
          <w:sz w:val="20"/>
          <w:szCs w:val="20"/>
          <w:color w:val="auto"/>
        </w:rPr>
      </w:pPr>
      <w:r>
        <w:rPr>
          <w:rFonts w:ascii="Arial" w:cs="Arial" w:eastAsia="Arial" w:hAnsi="Arial"/>
          <w:sz w:val="19"/>
          <w:szCs w:val="19"/>
          <w:u w:val="single" w:color="auto"/>
          <w:color w:val="0000EE"/>
        </w:rPr>
        <w:t>Exhibit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125095</wp:posOffset>
            </wp:positionV>
            <wp:extent cx="5336540"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36540" cy="20320"/>
                    </a:xfrm>
                    <a:prstGeom prst="rect">
                      <a:avLst/>
                    </a:prstGeom>
                    <a:noFill/>
                  </pic:spPr>
                </pic:pic>
              </a:graphicData>
            </a:graphic>
          </wp:anchor>
        </w:drawing>
      </w:r>
    </w:p>
    <w:p>
      <w:pPr>
        <w:sectPr>
          <w:pgSz w:w="11900" w:h="16838" w:orient="portrait"/>
          <w:cols w:equalWidth="0" w:num="1">
            <w:col w:w="9519"/>
          </w:cols>
          <w:pgMar w:left="940" w:top="110" w:right="1440" w:bottom="1440" w:gutter="0" w:footer="0" w:header="0"/>
        </w:sectPr>
      </w:pPr>
    </w:p>
    <w:bookmarkStart w:id="4" w:name="page5"/>
    <w:bookmarkEnd w:id="4"/>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65" w:lineRule="exact"/>
        <w:rPr>
          <w:sz w:val="20"/>
          <w:szCs w:val="20"/>
          <w:color w:val="auto"/>
        </w:rPr>
      </w:pPr>
    </w:p>
    <w:p>
      <w:pPr>
        <w:ind w:left="4000"/>
        <w:spacing w:after="0"/>
        <w:rPr>
          <w:sz w:val="20"/>
          <w:szCs w:val="20"/>
          <w:color w:val="auto"/>
        </w:rPr>
      </w:pPr>
      <w:r>
        <w:rPr>
          <w:rFonts w:ascii="Arial" w:cs="Arial" w:eastAsia="Arial" w:hAnsi="Arial"/>
          <w:sz w:val="16"/>
          <w:szCs w:val="16"/>
          <w:b w:val="1"/>
          <w:bCs w:val="1"/>
          <w:color w:val="auto"/>
        </w:rPr>
        <w:t>Part I</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56" w:lineRule="exact"/>
        <w:rPr>
          <w:sz w:val="20"/>
          <w:szCs w:val="20"/>
          <w:color w:val="auto"/>
        </w:rPr>
      </w:pPr>
    </w:p>
    <w:p>
      <w:pPr>
        <w:ind w:left="320" w:hanging="311"/>
        <w:spacing w:after="0"/>
        <w:tabs>
          <w:tab w:leader="none" w:pos="32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General Development of Business</w:t>
      </w:r>
    </w:p>
    <w:p>
      <w:pPr>
        <w:spacing w:after="0" w:line="164" w:lineRule="exact"/>
        <w:rPr>
          <w:rFonts w:ascii="Arial" w:cs="Arial" w:eastAsia="Arial" w:hAnsi="Arial"/>
          <w:sz w:val="16"/>
          <w:szCs w:val="16"/>
          <w:b w:val="1"/>
          <w:bCs w:val="1"/>
          <w:color w:val="auto"/>
        </w:rPr>
      </w:pPr>
    </w:p>
    <w:p>
      <w:pPr>
        <w:ind w:left="320" w:right="1599"/>
        <w:spacing w:after="0" w:line="242" w:lineRule="auto"/>
        <w:rPr>
          <w:rFonts w:ascii="Arial" w:cs="Arial" w:eastAsia="Arial" w:hAnsi="Arial"/>
          <w:sz w:val="16"/>
          <w:szCs w:val="16"/>
          <w:b w:val="1"/>
          <w:bCs w:val="1"/>
          <w:color w:val="auto"/>
        </w:rPr>
      </w:pPr>
      <w:r>
        <w:rPr>
          <w:rFonts w:ascii="Arial" w:cs="Arial" w:eastAsia="Arial" w:hAnsi="Arial"/>
          <w:sz w:val="16"/>
          <w:szCs w:val="16"/>
          <w:color w:val="auto"/>
        </w:rPr>
        <w:t>Gentex Corporation (the Company) designs, develops, manufactures and markets proprietary products employing electro-optic technology: automatic-dimming rearview automotive mirrors with electronic features and fire protection products. The Company also developed and manufactures variable dimmable windows for the aircraft industry and non-automatic-dimming rearview automotive mirrors with electronic features.</w:t>
      </w:r>
    </w:p>
    <w:p>
      <w:pPr>
        <w:spacing w:after="0" w:line="132" w:lineRule="exact"/>
        <w:rPr>
          <w:rFonts w:ascii="Arial" w:cs="Arial" w:eastAsia="Arial" w:hAnsi="Arial"/>
          <w:sz w:val="16"/>
          <w:szCs w:val="16"/>
          <w:b w:val="1"/>
          <w:bCs w:val="1"/>
          <w:color w:val="auto"/>
        </w:rPr>
      </w:pPr>
    </w:p>
    <w:p>
      <w:pPr>
        <w:ind w:left="320" w:right="1539"/>
        <w:spacing w:after="0" w:line="239" w:lineRule="auto"/>
        <w:rPr>
          <w:rFonts w:ascii="Arial" w:cs="Arial" w:eastAsia="Arial" w:hAnsi="Arial"/>
          <w:sz w:val="16"/>
          <w:szCs w:val="16"/>
          <w:b w:val="1"/>
          <w:bCs w:val="1"/>
          <w:color w:val="auto"/>
        </w:rPr>
      </w:pPr>
      <w:r>
        <w:rPr>
          <w:rFonts w:ascii="Arial" w:cs="Arial" w:eastAsia="Arial" w:hAnsi="Arial"/>
          <w:sz w:val="16"/>
          <w:szCs w:val="16"/>
          <w:color w:val="auto"/>
        </w:rPr>
        <w:t>The Company was organized as a Michigan company in 1974 to manufacture residential smoke detectors, a product line that has since evolved into a more sophisticated group of fire protection products primarily for the commercial building industry. In 1982, the Company introduced an automatic interior rearview mirror that was the first commercially successful glare-control product offered as an alternative to the conventional, manual day/night mirror. In 1987, the Company introduced its interior electrochromic (auto-dimming) mirror, providing the first successful commercial application of electrochromic (EC) technology in the automotive industry and world. Through the use of electrochromic technology, this mirror is continually variable and automatically darkens to the degree required to eliminate rearview mirror headlight glare. In 1991, the Company introduced its exterior electrochromic sub-assembly, which works as a complete glare-control system with the interior auto-dimming mirror. In 1997, the Company began making volume shipments of three new exterior mirror sub-assembly products: thin glass flat, convex and aspheric.</w:t>
      </w:r>
    </w:p>
    <w:p>
      <w:pPr>
        <w:spacing w:after="0" w:line="132" w:lineRule="exact"/>
        <w:rPr>
          <w:rFonts w:ascii="Arial" w:cs="Arial" w:eastAsia="Arial" w:hAnsi="Arial"/>
          <w:sz w:val="16"/>
          <w:szCs w:val="16"/>
          <w:b w:val="1"/>
          <w:bCs w:val="1"/>
          <w:color w:val="auto"/>
        </w:rPr>
      </w:pPr>
    </w:p>
    <w:p>
      <w:pPr>
        <w:ind w:left="320" w:right="1539"/>
        <w:spacing w:after="0" w:line="239" w:lineRule="auto"/>
        <w:rPr>
          <w:rFonts w:ascii="Arial" w:cs="Arial" w:eastAsia="Arial" w:hAnsi="Arial"/>
          <w:sz w:val="16"/>
          <w:szCs w:val="16"/>
          <w:b w:val="1"/>
          <w:bCs w:val="1"/>
          <w:color w:val="auto"/>
        </w:rPr>
      </w:pPr>
      <w:r>
        <w:rPr>
          <w:rFonts w:ascii="Arial" w:cs="Arial" w:eastAsia="Arial" w:hAnsi="Arial"/>
          <w:sz w:val="16"/>
          <w:szCs w:val="16"/>
          <w:color w:val="auto"/>
        </w:rPr>
        <w:t>During 2001, the Company announced a revolutionary new proprietary technology, called SmartBeam</w:t>
      </w:r>
      <w:r>
        <w:rPr>
          <w:rFonts w:ascii="Arial" w:cs="Arial" w:eastAsia="Arial" w:hAnsi="Arial"/>
          <w:sz w:val="13"/>
          <w:szCs w:val="13"/>
          <w:color w:val="auto"/>
        </w:rPr>
        <w:t>®</w:t>
      </w:r>
      <w:r>
        <w:rPr>
          <w:rFonts w:ascii="Arial" w:cs="Arial" w:eastAsia="Arial" w:hAnsi="Arial"/>
          <w:sz w:val="16"/>
          <w:szCs w:val="16"/>
          <w:color w:val="auto"/>
        </w:rPr>
        <w:t>, that uses a custom, active-pixel, CMOS (complementary metal oxide semiconductor) sensor, and maximizes a driver’s forward vision by significantly improving utilization of the vehicle’s high-beam headlamps during nighttime driving. During 2004, the Company began shipping auto-dimming mirrors with SmartBeam</w:t>
      </w:r>
      <w:r>
        <w:rPr>
          <w:rFonts w:ascii="Arial" w:cs="Arial" w:eastAsia="Arial" w:hAnsi="Arial"/>
          <w:sz w:val="13"/>
          <w:szCs w:val="13"/>
          <w:color w:val="auto"/>
        </w:rPr>
        <w:t>®</w:t>
      </w:r>
      <w:r>
        <w:rPr>
          <w:rFonts w:ascii="Arial" w:cs="Arial" w:eastAsia="Arial" w:hAnsi="Arial"/>
          <w:sz w:val="16"/>
          <w:szCs w:val="16"/>
          <w:color w:val="auto"/>
        </w:rPr>
        <w:t>. During 2009, the Company began shipping auto-dimming mirrors with SmartBeam</w:t>
      </w:r>
      <w:r>
        <w:rPr>
          <w:rFonts w:ascii="Arial" w:cs="Arial" w:eastAsia="Arial" w:hAnsi="Arial"/>
          <w:sz w:val="13"/>
          <w:szCs w:val="13"/>
          <w:color w:val="auto"/>
        </w:rPr>
        <w:t>®</w:t>
      </w:r>
      <w:r>
        <w:rPr>
          <w:rFonts w:ascii="Arial" w:cs="Arial" w:eastAsia="Arial" w:hAnsi="Arial"/>
          <w:sz w:val="16"/>
          <w:szCs w:val="16"/>
          <w:color w:val="auto"/>
        </w:rPr>
        <w:t xml:space="preserve"> on fifteen additional models for Audi, Opel/Vauxhall, Bavarian Motor Works, A.G. (BMW), Toyota, Rolls Royce and Tata/Land Rover. Also during 2009, the Company expanded the capabilities of its SmartBeam</w:t>
      </w:r>
      <w:r>
        <w:rPr>
          <w:rFonts w:ascii="Arial" w:cs="Arial" w:eastAsia="Arial" w:hAnsi="Arial"/>
          <w:sz w:val="13"/>
          <w:szCs w:val="13"/>
          <w:color w:val="auto"/>
        </w:rPr>
        <w:t>®</w:t>
      </w:r>
      <w:r>
        <w:rPr>
          <w:rFonts w:ascii="Arial" w:cs="Arial" w:eastAsia="Arial" w:hAnsi="Arial"/>
          <w:sz w:val="16"/>
          <w:szCs w:val="16"/>
          <w:color w:val="auto"/>
        </w:rPr>
        <w:t xml:space="preserve"> product to include Variable Forward Lighting (VFL) and Dynamic Forward Lighting (DFL). VFL also automates high-beam and low-beam switching. But, in addition, by communicating with the vehicle’s dynamic-leveling headlamp systems, it produces “continuously variable low beams” — automatically extending and contracting the low-beam patterns. This technology provides an added level of forward lighting optimization by maximizing both low and high beams. DFL can be used to control “constant on” high-beam systems. It works in conjunction with emerging future headlamp technology to generate glare-free “block out” zones that shield oncoming and preceding vehicles from headlamp glare. This allows light to be projected around the surrounding traffic, and optimize the capabilities of the SmartBeam</w:t>
      </w:r>
      <w:r>
        <w:rPr>
          <w:rFonts w:ascii="Arial" w:cs="Arial" w:eastAsia="Arial" w:hAnsi="Arial"/>
          <w:sz w:val="13"/>
          <w:szCs w:val="13"/>
          <w:color w:val="auto"/>
        </w:rPr>
        <w:t>®</w:t>
      </w:r>
      <w:r>
        <w:rPr>
          <w:rFonts w:ascii="Arial" w:cs="Arial" w:eastAsia="Arial" w:hAnsi="Arial"/>
          <w:sz w:val="16"/>
          <w:szCs w:val="16"/>
          <w:color w:val="auto"/>
        </w:rPr>
        <w:t xml:space="preserve"> Intelligent Forward Lighting System.</w:t>
      </w:r>
    </w:p>
    <w:p>
      <w:pPr>
        <w:spacing w:after="0" w:line="133" w:lineRule="exact"/>
        <w:rPr>
          <w:rFonts w:ascii="Arial" w:cs="Arial" w:eastAsia="Arial" w:hAnsi="Arial"/>
          <w:sz w:val="16"/>
          <w:szCs w:val="16"/>
          <w:b w:val="1"/>
          <w:bCs w:val="1"/>
          <w:color w:val="auto"/>
        </w:rPr>
      </w:pPr>
    </w:p>
    <w:p>
      <w:pPr>
        <w:ind w:left="320" w:right="1539"/>
        <w:spacing w:after="0" w:line="239" w:lineRule="auto"/>
        <w:rPr>
          <w:rFonts w:ascii="Arial" w:cs="Arial" w:eastAsia="Arial" w:hAnsi="Arial"/>
          <w:sz w:val="16"/>
          <w:szCs w:val="16"/>
          <w:b w:val="1"/>
          <w:bCs w:val="1"/>
          <w:color w:val="auto"/>
        </w:rPr>
      </w:pPr>
      <w:r>
        <w:rPr>
          <w:rFonts w:ascii="Arial" w:cs="Arial" w:eastAsia="Arial" w:hAnsi="Arial"/>
          <w:sz w:val="16"/>
          <w:szCs w:val="16"/>
          <w:color w:val="auto"/>
        </w:rPr>
        <w:t>During 2006, the Company announced development programs with several automakers for its Rear Camera Display (RCD) Mirror that shows the vehicle operator a panoramic video view of objects directly behind the vehicle in real time. During 2007, the Company announced a number of Original Equipment Manufacturer (OEM) programs and dealer or port-installed programs for its RCD Mirror. During 2008, the Company announced that its RCD Mirror was available through MITO Corporation, a distributor of high-quality aftermarket electronic products and accessories, in addition to announcing that its RCD Mirror was available on additional models. During 2009, the Company announced that its RCD Mirror is available on 34 additional vehicle models, as OEM programs or dealer or port-installed programs, for Acura, Daihatsu, Ford, General Motors, Hyundai/Kia, Mitsubishi, Nissan, Subaru and Toyota.</w:t>
      </w:r>
    </w:p>
    <w:p>
      <w:pPr>
        <w:spacing w:after="0" w:line="137" w:lineRule="exact"/>
        <w:rPr>
          <w:rFonts w:ascii="Arial" w:cs="Arial" w:eastAsia="Arial" w:hAnsi="Arial"/>
          <w:sz w:val="16"/>
          <w:szCs w:val="16"/>
          <w:b w:val="1"/>
          <w:bCs w:val="1"/>
          <w:color w:val="auto"/>
        </w:rPr>
      </w:pPr>
    </w:p>
    <w:p>
      <w:pPr>
        <w:ind w:left="320" w:right="1559"/>
        <w:spacing w:after="0" w:line="239" w:lineRule="auto"/>
        <w:rPr>
          <w:rFonts w:ascii="Arial" w:cs="Arial" w:eastAsia="Arial" w:hAnsi="Arial"/>
          <w:sz w:val="16"/>
          <w:szCs w:val="16"/>
          <w:b w:val="1"/>
          <w:bCs w:val="1"/>
          <w:color w:val="auto"/>
        </w:rPr>
      </w:pPr>
      <w:r>
        <w:rPr>
          <w:rFonts w:ascii="Arial" w:cs="Arial" w:eastAsia="Arial" w:hAnsi="Arial"/>
          <w:sz w:val="16"/>
          <w:szCs w:val="16"/>
          <w:color w:val="auto"/>
        </w:rPr>
        <w:t>During 2005, the Company entered into an agreement with PPG Aerospace to work together to provide the variably dimmable windows for the passenger compartment on the new Boeing 787 Dreamliner series of aircraft. The Company shipped the first set of variably dimmable aircraft windows for test planes in mid 2007. Based on the latest available information, Boeing now expects the first delivery of the 787 Dreamliner series of aircraft to occur in late 2010. The Company anticipates that it will begin to deliver windows to the Boeing production line in the first half of 2010. During 2008, the Company and PPG Aerospace announced that they will work together to supply dimmable windows to Hawker Beechcraft Corporation for passenger-cabin windows on the 2010 Beechcraft King Air 350i airplane. The Company began shipping parts for the King Air 350i airplane in mid-2009 in low volume.</w:t>
      </w:r>
    </w:p>
    <w:p>
      <w:pPr>
        <w:spacing w:after="0" w:line="200" w:lineRule="exact"/>
        <w:rPr>
          <w:rFonts w:ascii="Arial" w:cs="Arial" w:eastAsia="Arial" w:hAnsi="Arial"/>
          <w:sz w:val="16"/>
          <w:szCs w:val="16"/>
          <w:b w:val="1"/>
          <w:bCs w:val="1"/>
          <w:color w:val="auto"/>
        </w:rPr>
      </w:pPr>
    </w:p>
    <w:p>
      <w:pPr>
        <w:spacing w:after="0" w:line="301" w:lineRule="exact"/>
        <w:rPr>
          <w:rFonts w:ascii="Arial" w:cs="Arial" w:eastAsia="Arial" w:hAnsi="Arial"/>
          <w:sz w:val="16"/>
          <w:szCs w:val="16"/>
          <w:b w:val="1"/>
          <w:bCs w:val="1"/>
          <w:color w:val="auto"/>
        </w:rPr>
      </w:pPr>
    </w:p>
    <w:p>
      <w:pPr>
        <w:ind w:left="4160" w:hanging="96"/>
        <w:spacing w:after="0"/>
        <w:tabs>
          <w:tab w:leader="none" w:pos="4160" w:val="left"/>
        </w:tabs>
        <w:numPr>
          <w:ilvl w:val="1"/>
          <w:numId w:val="4"/>
        </w:numPr>
        <w:rPr>
          <w:rFonts w:ascii="Arial" w:cs="Arial" w:eastAsia="Arial" w:hAnsi="Arial"/>
          <w:sz w:val="16"/>
          <w:szCs w:val="16"/>
          <w:color w:val="auto"/>
        </w:rPr>
      </w:pPr>
      <w:r>
        <w:rPr>
          <w:rFonts w:ascii="Arial" w:cs="Arial" w:eastAsia="Arial" w:hAnsi="Arial"/>
          <w:sz w:val="16"/>
          <w:szCs w:val="16"/>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120650</wp:posOffset>
            </wp:positionV>
            <wp:extent cx="726503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9939"/>
          </w:cols>
          <w:pgMar w:left="520" w:top="387" w:right="1440" w:bottom="1440" w:gutter="0" w:footer="0" w:header="0"/>
        </w:sectPr>
      </w:pPr>
    </w:p>
    <w:bookmarkStart w:id="5" w:name="page6"/>
    <w:bookmarkEnd w:id="5"/>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600" w:right="1699"/>
        <w:spacing w:after="0" w:line="251" w:lineRule="auto"/>
        <w:rPr>
          <w:sz w:val="20"/>
          <w:szCs w:val="20"/>
          <w:color w:val="auto"/>
        </w:rPr>
      </w:pPr>
      <w:r>
        <w:rPr>
          <w:rFonts w:ascii="Arial" w:cs="Arial" w:eastAsia="Arial" w:hAnsi="Arial"/>
          <w:sz w:val="16"/>
          <w:szCs w:val="16"/>
          <w:color w:val="auto"/>
        </w:rPr>
        <w:t>In 2009, the Company announced the development of its first Carbon Monoxide (CO) Alarm designed primarily for applications such as hotels, motels, hospitals, college dormitories and nursing homes.</w:t>
      </w:r>
    </w:p>
    <w:p>
      <w:pPr>
        <w:spacing w:after="0" w:line="105" w:lineRule="exact"/>
        <w:rPr>
          <w:sz w:val="20"/>
          <w:szCs w:val="20"/>
          <w:color w:val="auto"/>
        </w:rPr>
      </w:pPr>
    </w:p>
    <w:p>
      <w:pPr>
        <w:ind w:left="600" w:hanging="311"/>
        <w:spacing w:after="0"/>
        <w:tabs>
          <w:tab w:leader="none" w:pos="6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Information About Segments</w:t>
      </w:r>
    </w:p>
    <w:p>
      <w:pPr>
        <w:spacing w:after="0" w:line="164" w:lineRule="exact"/>
        <w:rPr>
          <w:rFonts w:ascii="Arial" w:cs="Arial" w:eastAsia="Arial" w:hAnsi="Arial"/>
          <w:sz w:val="16"/>
          <w:szCs w:val="16"/>
          <w:b w:val="1"/>
          <w:bCs w:val="1"/>
          <w:color w:val="auto"/>
        </w:rPr>
      </w:pPr>
    </w:p>
    <w:p>
      <w:pPr>
        <w:ind w:left="600"/>
        <w:spacing w:after="0"/>
        <w:rPr>
          <w:rFonts w:ascii="Arial" w:cs="Arial" w:eastAsia="Arial" w:hAnsi="Arial"/>
          <w:sz w:val="16"/>
          <w:szCs w:val="16"/>
          <w:b w:val="1"/>
          <w:bCs w:val="1"/>
          <w:color w:val="auto"/>
        </w:rPr>
      </w:pPr>
      <w:r>
        <w:rPr>
          <w:rFonts w:ascii="Arial" w:cs="Arial" w:eastAsia="Arial" w:hAnsi="Arial"/>
          <w:sz w:val="16"/>
          <w:szCs w:val="16"/>
          <w:color w:val="auto"/>
        </w:rPr>
        <w:t>See Note 8 to the Consolidated Financial Statements filed with this report.</w:t>
      </w:r>
    </w:p>
    <w:p>
      <w:pPr>
        <w:spacing w:after="0" w:line="124" w:lineRule="exact"/>
        <w:rPr>
          <w:rFonts w:ascii="Arial" w:cs="Arial" w:eastAsia="Arial" w:hAnsi="Arial"/>
          <w:sz w:val="16"/>
          <w:szCs w:val="16"/>
          <w:b w:val="1"/>
          <w:bCs w:val="1"/>
          <w:color w:val="auto"/>
        </w:rPr>
      </w:pPr>
    </w:p>
    <w:p>
      <w:pPr>
        <w:ind w:left="600" w:hanging="311"/>
        <w:spacing w:after="0"/>
        <w:tabs>
          <w:tab w:leader="none" w:pos="60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Narrative Description of Business</w:t>
      </w:r>
    </w:p>
    <w:p>
      <w:pPr>
        <w:spacing w:after="0" w:line="164" w:lineRule="exact"/>
        <w:rPr>
          <w:rFonts w:ascii="Arial" w:cs="Arial" w:eastAsia="Arial" w:hAnsi="Arial"/>
          <w:sz w:val="16"/>
          <w:szCs w:val="16"/>
          <w:b w:val="1"/>
          <w:bCs w:val="1"/>
          <w:color w:val="auto"/>
        </w:rPr>
      </w:pPr>
    </w:p>
    <w:p>
      <w:pPr>
        <w:ind w:left="600" w:right="1579"/>
        <w:spacing w:after="0" w:line="242" w:lineRule="auto"/>
        <w:rPr>
          <w:rFonts w:ascii="Arial" w:cs="Arial" w:eastAsia="Arial" w:hAnsi="Arial"/>
          <w:sz w:val="16"/>
          <w:szCs w:val="16"/>
          <w:b w:val="1"/>
          <w:bCs w:val="1"/>
          <w:color w:val="auto"/>
        </w:rPr>
      </w:pPr>
      <w:r>
        <w:rPr>
          <w:rFonts w:ascii="Arial" w:cs="Arial" w:eastAsia="Arial" w:hAnsi="Arial"/>
          <w:sz w:val="16"/>
          <w:szCs w:val="16"/>
          <w:color w:val="auto"/>
        </w:rPr>
        <w:t>The Company currently manufactures electro-optic products, including automatic-dimming rearview mirrors for the automotive industry and fire protection products primarily for the commercial building industry. The Company also manufactures variable dimmable windows for the aircraft industry and non automatic-dimming rearview automotive mirrors with electronic features for the automotive industry.</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Automotive Mirrors</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Automatic-Dimming Rearview Mirrors</w:t>
      </w:r>
    </w:p>
    <w:p>
      <w:pPr>
        <w:spacing w:after="0" w:line="160" w:lineRule="exact"/>
        <w:rPr>
          <w:sz w:val="20"/>
          <w:szCs w:val="20"/>
          <w:color w:val="auto"/>
        </w:rPr>
      </w:pPr>
    </w:p>
    <w:p>
      <w:pPr>
        <w:ind w:left="280" w:right="1559"/>
        <w:spacing w:after="0" w:line="241" w:lineRule="auto"/>
        <w:rPr>
          <w:sz w:val="20"/>
          <w:szCs w:val="20"/>
          <w:color w:val="auto"/>
        </w:rPr>
      </w:pPr>
      <w:r>
        <w:rPr>
          <w:rFonts w:ascii="Arial" w:cs="Arial" w:eastAsia="Arial" w:hAnsi="Arial"/>
          <w:sz w:val="16"/>
          <w:szCs w:val="16"/>
          <w:i w:val="1"/>
          <w:iCs w:val="1"/>
          <w:u w:val="single" w:color="auto"/>
          <w:color w:val="auto"/>
        </w:rPr>
        <w:t>Interior Auto-Dimming Mirrors.</w:t>
      </w:r>
      <w:r>
        <w:rPr>
          <w:rFonts w:ascii="Arial" w:cs="Arial" w:eastAsia="Arial" w:hAnsi="Arial"/>
          <w:sz w:val="16"/>
          <w:szCs w:val="16"/>
          <w:i w:val="1"/>
          <w:iCs w:val="1"/>
          <w:color w:val="auto"/>
        </w:rPr>
        <w:t xml:space="preserve"> </w:t>
      </w:r>
      <w:r>
        <w:rPr>
          <w:rFonts w:ascii="Arial" w:cs="Arial" w:eastAsia="Arial" w:hAnsi="Arial"/>
          <w:sz w:val="16"/>
          <w:szCs w:val="16"/>
          <w:color w:val="auto"/>
        </w:rPr>
        <w:t>In 1987, the Company achieved a significant technological breakthrough by applying</w:t>
      </w:r>
      <w:r>
        <w:rPr>
          <w:rFonts w:ascii="Arial" w:cs="Arial" w:eastAsia="Arial" w:hAnsi="Arial"/>
          <w:sz w:val="16"/>
          <w:szCs w:val="16"/>
          <w:i w:val="1"/>
          <w:iCs w:val="1"/>
          <w:color w:val="auto"/>
        </w:rPr>
        <w:t xml:space="preserve"> </w:t>
      </w:r>
      <w:r>
        <w:rPr>
          <w:rFonts w:ascii="Arial" w:cs="Arial" w:eastAsia="Arial" w:hAnsi="Arial"/>
          <w:sz w:val="16"/>
          <w:szCs w:val="16"/>
          <w:color w:val="auto"/>
        </w:rPr>
        <w:t>electrochromic technology to the glare-sensing capabilities of its Motorized Mirror. Through the use of this technology, the mirror gradually darkens to the degree necessary to eliminate rearview glare from following vehicle headlights. The interior auto-dimming mirror offers all of the continuous reflectance levels between its approximate 87% full-reflectance state and its 7% least-reflectance state, taking just a few seconds to span the entire range. Special electro-optic sensors in the mirror detect glare and electronic circuitry supplies electricity to darken the mirror to only the precise level required to eliminate glare, allowing the driver to maintain maximum vision. This is accomplished by the utilization of two layers of precision glass with special conductive coatings that are separated by the Company’s proprietary electrochromic materials. When the appropriate light differential is detected by the sensors, an electric current causes the elctrochromic material to darken, decreasing the mirror’s reflectance, thereby eliminating glare.</w:t>
      </w:r>
    </w:p>
    <w:p>
      <w:pPr>
        <w:spacing w:after="0" w:line="343" w:lineRule="exact"/>
        <w:rPr>
          <w:sz w:val="20"/>
          <w:szCs w:val="20"/>
          <w:color w:val="auto"/>
        </w:rPr>
      </w:pPr>
    </w:p>
    <w:p>
      <w:pPr>
        <w:ind w:left="280" w:right="1599"/>
        <w:spacing w:after="0" w:line="239" w:lineRule="auto"/>
        <w:rPr>
          <w:sz w:val="20"/>
          <w:szCs w:val="20"/>
          <w:color w:val="auto"/>
        </w:rPr>
      </w:pPr>
      <w:r>
        <w:rPr>
          <w:rFonts w:ascii="Arial" w:cs="Arial" w:eastAsia="Arial" w:hAnsi="Arial"/>
          <w:sz w:val="16"/>
          <w:szCs w:val="16"/>
          <w:color w:val="auto"/>
        </w:rPr>
        <w:t>During 1991, the Company began shipping the first advanced-feature interior auto-dimming mirror, the auto-dimming headlamp control mirror, an automatic-dimming mirror that automatically turns car head- and taillamps “on” and “off” at dusk and dawn in response to the level of light observed. During 1993, the Company began shipping an auto-dimming compass mirror, with an electronic compass that automatically compensates for changes in the earth’s magnetic field. During 1997, the Company began shipping a new interior auto-dimming mirror that digitally displays either a compass or outside temperature reading. During 1998, the Company began shipping new compass mirrors with light-emitting diode (LED) map lamps, a major improvement over mirrors with standard incandescent map lamps, including extremely long life, low heat generation, lower current draw, more resistance to shock, and lower total cost of ownership. In 2000, the Company began shipping to General Motors interior auto-dimming mirrors that serve as the driver interface for the OnStar</w:t>
      </w:r>
      <w:r>
        <w:rPr>
          <w:rFonts w:ascii="Arial" w:cs="Arial" w:eastAsia="Arial" w:hAnsi="Arial"/>
          <w:sz w:val="13"/>
          <w:szCs w:val="13"/>
          <w:color w:val="auto"/>
        </w:rPr>
        <w:t>®</w:t>
      </w:r>
      <w:r>
        <w:rPr>
          <w:rFonts w:ascii="Arial" w:cs="Arial" w:eastAsia="Arial" w:hAnsi="Arial"/>
          <w:sz w:val="16"/>
          <w:szCs w:val="16"/>
          <w:color w:val="auto"/>
        </w:rPr>
        <w:t xml:space="preserve"> System, an in-vehicle safety, security and information service using Global Positioning System (GPS) satellite technology. OnStar</w:t>
      </w:r>
      <w:r>
        <w:rPr>
          <w:rFonts w:ascii="Arial" w:cs="Arial" w:eastAsia="Arial" w:hAnsi="Arial"/>
          <w:sz w:val="13"/>
          <w:szCs w:val="13"/>
          <w:color w:val="auto"/>
        </w:rPr>
        <w:t>®</w:t>
      </w:r>
      <w:r>
        <w:rPr>
          <w:rFonts w:ascii="Arial" w:cs="Arial" w:eastAsia="Arial" w:hAnsi="Arial"/>
          <w:sz w:val="16"/>
          <w:szCs w:val="16"/>
          <w:color w:val="auto"/>
        </w:rPr>
        <w:t xml:space="preserve"> is a registered trademark of OnStar</w:t>
      </w:r>
      <w:r>
        <w:rPr>
          <w:rFonts w:ascii="Arial" w:cs="Arial" w:eastAsia="Arial" w:hAnsi="Arial"/>
          <w:sz w:val="13"/>
          <w:szCs w:val="13"/>
          <w:color w:val="auto"/>
        </w:rPr>
        <w:t>®</w:t>
      </w:r>
      <w:r>
        <w:rPr>
          <w:rFonts w:ascii="Arial" w:cs="Arial" w:eastAsia="Arial" w:hAnsi="Arial"/>
          <w:sz w:val="16"/>
          <w:szCs w:val="16"/>
          <w:color w:val="auto"/>
        </w:rPr>
        <w:t xml:space="preserve"> Corporation.</w:t>
      </w:r>
    </w:p>
    <w:p>
      <w:pPr>
        <w:spacing w:after="0" w:line="147" w:lineRule="exact"/>
        <w:rPr>
          <w:sz w:val="20"/>
          <w:szCs w:val="20"/>
          <w:color w:val="auto"/>
        </w:rPr>
      </w:pPr>
    </w:p>
    <w:p>
      <w:pPr>
        <w:ind w:left="280" w:right="1539"/>
        <w:spacing w:after="0"/>
        <w:rPr>
          <w:sz w:val="20"/>
          <w:szCs w:val="20"/>
          <w:color w:val="auto"/>
        </w:rPr>
      </w:pPr>
      <w:r>
        <w:rPr>
          <w:rFonts w:ascii="Arial" w:cs="Arial" w:eastAsia="Arial" w:hAnsi="Arial"/>
          <w:sz w:val="16"/>
          <w:szCs w:val="16"/>
          <w:color w:val="auto"/>
        </w:rPr>
        <w:t>During 2001 and 2002, the Company began making shipments of its auto-dimming mirrors for a number of small/mid-sized, medium-priced vehicles, including the Toyota Camry, Matrix and Corolla; Ford Taurus and Mercury Sable; Volkswagen Passat, Jetta, Golf GTI and Beetle; Nissan Altima; Opel cross car line; Chrysler Sebring Coupe; Hyundai Santa Fe and Sonata; and Kia Optima and Sorento. During 2008, the Company began making shipments of its auto-dimming mirrors for additional small/mid-sized, medium-priced vehicles, including the Honda Civic and Accord; and the popular Ford Focus and Fiesta in Europe. The Company continues to expand its shipments of auto-dimming mirrors for this segment, including the Toyota IQ, Yaris and Verso; Ford Fusion; and the BMW 1 Series.</w:t>
      </w:r>
    </w:p>
    <w:p>
      <w:pPr>
        <w:spacing w:after="0" w:line="146" w:lineRule="exact"/>
        <w:rPr>
          <w:sz w:val="20"/>
          <w:szCs w:val="20"/>
          <w:color w:val="auto"/>
        </w:rPr>
      </w:pPr>
    </w:p>
    <w:p>
      <w:pPr>
        <w:ind w:left="280" w:right="1599"/>
        <w:spacing w:after="0" w:line="242" w:lineRule="auto"/>
        <w:rPr>
          <w:sz w:val="20"/>
          <w:szCs w:val="20"/>
          <w:color w:val="auto"/>
        </w:rPr>
      </w:pPr>
      <w:r>
        <w:rPr>
          <w:rFonts w:ascii="Arial" w:cs="Arial" w:eastAsia="Arial" w:hAnsi="Arial"/>
          <w:sz w:val="16"/>
          <w:szCs w:val="16"/>
          <w:color w:val="auto"/>
        </w:rPr>
        <w:t>During 2003, the Company began making shipments of its auto-dimming mirrors to two new automotive OEM customers, Honda and Volvo, and began volume shipments of its microphone as part of DaimlerChrylser’s “U-Connect</w:t>
      </w:r>
      <w:r>
        <w:rPr>
          <w:rFonts w:ascii="Arial" w:cs="Arial" w:eastAsia="Arial" w:hAnsi="Arial"/>
          <w:sz w:val="13"/>
          <w:szCs w:val="13"/>
          <w:color w:val="auto"/>
        </w:rPr>
        <w:t>®</w:t>
      </w:r>
      <w:r>
        <w:rPr>
          <w:rFonts w:ascii="Arial" w:cs="Arial" w:eastAsia="Arial" w:hAnsi="Arial"/>
          <w:sz w:val="16"/>
          <w:szCs w:val="16"/>
          <w:color w:val="auto"/>
        </w:rPr>
        <w:t>” telematics system. During 2007, the Company began making shipments of its microphone mirrors as part of Ford’s “Sync</w:t>
      </w:r>
      <w:r>
        <w:rPr>
          <w:rFonts w:ascii="Arial" w:cs="Arial" w:eastAsia="Arial" w:hAnsi="Arial"/>
          <w:sz w:val="13"/>
          <w:szCs w:val="13"/>
          <w:color w:val="auto"/>
        </w:rPr>
        <w:t>®</w:t>
      </w:r>
      <w:r>
        <w:rPr>
          <w:rFonts w:ascii="Arial" w:cs="Arial" w:eastAsia="Arial" w:hAnsi="Arial"/>
          <w:sz w:val="16"/>
          <w:szCs w:val="16"/>
          <w:color w:val="auto"/>
        </w:rPr>
        <w:t>” telematics system.</w:t>
      </w:r>
    </w:p>
    <w:p>
      <w:pPr>
        <w:spacing w:after="0" w:line="155" w:lineRule="exact"/>
        <w:rPr>
          <w:sz w:val="20"/>
          <w:szCs w:val="20"/>
          <w:color w:val="auto"/>
        </w:rPr>
      </w:pPr>
    </w:p>
    <w:p>
      <w:pPr>
        <w:ind w:left="280" w:right="1559"/>
        <w:spacing w:after="0" w:line="221" w:lineRule="auto"/>
        <w:rPr>
          <w:sz w:val="20"/>
          <w:szCs w:val="20"/>
          <w:color w:val="auto"/>
        </w:rPr>
      </w:pPr>
      <w:r>
        <w:rPr>
          <w:rFonts w:ascii="Arial" w:cs="Arial" w:eastAsia="Arial" w:hAnsi="Arial"/>
          <w:sz w:val="16"/>
          <w:szCs w:val="16"/>
          <w:color w:val="auto"/>
        </w:rPr>
        <w:t>During 2004 and 2005, the Company began shipping auto-dimming mirrors with SmartBeam</w:t>
      </w:r>
      <w:r>
        <w:rPr>
          <w:rFonts w:ascii="Arial" w:cs="Arial" w:eastAsia="Arial" w:hAnsi="Arial"/>
          <w:sz w:val="13"/>
          <w:szCs w:val="13"/>
          <w:color w:val="auto"/>
        </w:rPr>
        <w:t>®</w:t>
      </w:r>
      <w:r>
        <w:rPr>
          <w:rFonts w:ascii="Arial" w:cs="Arial" w:eastAsia="Arial" w:hAnsi="Arial"/>
          <w:sz w:val="16"/>
          <w:szCs w:val="16"/>
          <w:color w:val="auto"/>
        </w:rPr>
        <w:t>, its proprietary intelligent high-beam headlamp control feature, for the Cadillac STS, Jeep Grand Cherokee, Cadillac DTS, the Jeep Commander, and BMW 5, 6 and 7 Series models in Europe and other select markets. During 2006 through 2008, the Company began shipping auto-dimming mirrors with SmartBeam</w:t>
      </w:r>
      <w:r>
        <w:rPr>
          <w:rFonts w:ascii="Arial" w:cs="Arial" w:eastAsia="Arial" w:hAnsi="Arial"/>
          <w:sz w:val="23"/>
          <w:szCs w:val="23"/>
          <w:color w:val="auto"/>
          <w:vertAlign w:val="superscript"/>
        </w:rPr>
        <w:t>®</w:t>
      </w:r>
      <w:r>
        <w:rPr>
          <w:rFonts w:ascii="Arial" w:cs="Arial" w:eastAsia="Arial" w:hAnsi="Arial"/>
          <w:sz w:val="16"/>
          <w:szCs w:val="16"/>
          <w:color w:val="auto"/>
        </w:rPr>
        <w:t xml:space="preserve"> for the BMW 3, 5 and 6 Series in North America; BMW X5 and X6 models; Cadillac Escalade; Chrysler 300C; Audi A4, A5 and Q7; Opel Insignia; Chrysler Town &amp; Country minivan and the Toyota Venza crossover sedan. During 2009, the Company began shipping auto-dimming mirrors with SmartBeam</w:t>
      </w:r>
      <w:r>
        <w:rPr>
          <w:rFonts w:ascii="Arial" w:cs="Arial" w:eastAsia="Arial" w:hAnsi="Arial"/>
          <w:sz w:val="13"/>
          <w:szCs w:val="13"/>
          <w:color w:val="auto"/>
        </w:rPr>
        <w:t>®</w:t>
      </w:r>
      <w:r>
        <w:rPr>
          <w:rFonts w:ascii="Arial" w:cs="Arial" w:eastAsia="Arial" w:hAnsi="Arial"/>
          <w:sz w:val="16"/>
          <w:szCs w:val="16"/>
          <w:color w:val="auto"/>
        </w:rPr>
        <w:t xml:space="preserve"> for the BMW 1 Series, X1 and Z4 models; Tata Motors Land Rover Discovery 4, Range Rover and Range Rover Sport; Opel/Vauxhall Astra; Lexus RX350 and LS Sedan; Audi All Road, A5 Cabrio and A5 Sportback; and Rolls Royce Phantom, Ghost and Drophead Coupe. The Company shipped approximately 437,000 SmartBeam</w:t>
      </w:r>
      <w:r>
        <w:rPr>
          <w:rFonts w:ascii="Arial" w:cs="Arial" w:eastAsia="Arial" w:hAnsi="Arial"/>
          <w:sz w:val="13"/>
          <w:szCs w:val="13"/>
          <w:color w:val="auto"/>
        </w:rPr>
        <w:t>®</w:t>
      </w:r>
      <w:r>
        <w:rPr>
          <w:rFonts w:ascii="Arial" w:cs="Arial" w:eastAsia="Arial" w:hAnsi="Arial"/>
          <w:sz w:val="16"/>
          <w:szCs w:val="16"/>
          <w:color w:val="auto"/>
        </w:rPr>
        <w:t xml:space="preserve"> units in calendar year 2009 and is currently shipping auto-dimming mirrors with SmartBeam</w:t>
      </w:r>
      <w:r>
        <w:rPr>
          <w:rFonts w:ascii="Arial" w:cs="Arial" w:eastAsia="Arial" w:hAnsi="Arial"/>
          <w:sz w:val="23"/>
          <w:szCs w:val="23"/>
          <w:color w:val="auto"/>
          <w:vertAlign w:val="superscript"/>
        </w:rPr>
        <w:t>®</w:t>
      </w:r>
      <w:r>
        <w:rPr>
          <w:rFonts w:ascii="Arial" w:cs="Arial" w:eastAsia="Arial" w:hAnsi="Arial"/>
          <w:sz w:val="16"/>
          <w:szCs w:val="16"/>
          <w:color w:val="auto"/>
        </w:rPr>
        <w:t xml:space="preserve"> for 33 vehicle models.</w:t>
      </w:r>
    </w:p>
    <w:p>
      <w:pPr>
        <w:spacing w:after="0" w:line="200" w:lineRule="exact"/>
        <w:rPr>
          <w:sz w:val="20"/>
          <w:szCs w:val="20"/>
          <w:color w:val="auto"/>
        </w:rPr>
      </w:pPr>
    </w:p>
    <w:p>
      <w:pPr>
        <w:spacing w:after="0" w:line="293"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6" w:name="page7"/>
    <w:bookmarkEnd w:id="6"/>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280" w:right="2760"/>
        <w:spacing w:after="0" w:line="238" w:lineRule="auto"/>
        <w:rPr>
          <w:sz w:val="20"/>
          <w:szCs w:val="20"/>
          <w:color w:val="auto"/>
        </w:rPr>
      </w:pPr>
      <w:r>
        <w:rPr>
          <w:rFonts w:ascii="Arial" w:cs="Arial" w:eastAsia="Arial" w:hAnsi="Arial"/>
          <w:sz w:val="16"/>
          <w:szCs w:val="16"/>
          <w:color w:val="auto"/>
        </w:rPr>
        <w:t>During 2006, the Company announced development programs with several automakers for its RCD Mirror that shows a panoramic video view of objects directly behind the vehicle in real time. During 2007, the Company began shipping auto-dimming mirrors with RCD for the Ford Expedition, Ford F150, Lincoln Navigator, Lincoln Mark LT and the Kia Mohave in the Korean market. The Company also began shipping auto-dimming mirrors with RCD for the Mazda CX-9 as a dealer or port-installed program. In addition, the Company began shipping auto-dimming mirrors with RCD for the Toyota Camry as a dealer or port-installed option through Gulf States Toyota, one of two independent Toyota distributorships that cover dealers in the states of Arkansas, Louisiana, Mississippi, Oklahoma and Texas. During 2008, the Company began shipping auto-dimming mirrors with RCD for the Hyundai Grandeur and the Kia Soul in the Korean market, Toyota Tacoma, FJ Cruiser and RAV4, Ford E-Series passenger van and the General Motors GMT 900 and Lambda platforms. In 2008, the Company also announced that its RCD Mirror is available through MITO Corporation, a distributor of high-quality aftermarket electronic products and accessories. During 2009, the Company began shipping auto-dimming mirrors with RCD for the Ford Fusion and Mustang; Mercury Milan; Kia Forte, Morning, Opirus and Sorento; Toyota Tundra, Sequoia, Prius and Corolla Verso; Lexus RX350; Daihatsu Mira Cocoa; Mitsubishi Eclipse and Eclipse Spyder; Acura MDX and RDX; GMC Terrain; and Chevy Equinox. The Company also began shipping auto-dimming mirrors with RCD for a number of dealer or port-installed programs for Mitsubishi, Toyota, Nissan and Subaru. The Company shipped approximately 573,000 RCD Mirror units in calendar year 2009 and is currently shipping auto-dimming mirrors with RCD for 56 vehicle models.</w:t>
      </w:r>
    </w:p>
    <w:p>
      <w:pPr>
        <w:spacing w:after="0" w:line="167" w:lineRule="exact"/>
        <w:rPr>
          <w:sz w:val="20"/>
          <w:szCs w:val="20"/>
          <w:color w:val="auto"/>
        </w:rPr>
      </w:pPr>
    </w:p>
    <w:p>
      <w:pPr>
        <w:ind w:left="280" w:right="2800"/>
        <w:spacing w:after="0" w:line="239" w:lineRule="auto"/>
        <w:rPr>
          <w:sz w:val="20"/>
          <w:szCs w:val="20"/>
          <w:color w:val="auto"/>
        </w:rPr>
      </w:pPr>
      <w:r>
        <w:rPr>
          <w:rFonts w:ascii="Arial" w:cs="Arial" w:eastAsia="Arial" w:hAnsi="Arial"/>
          <w:sz w:val="16"/>
          <w:szCs w:val="16"/>
          <w:color w:val="auto"/>
        </w:rPr>
        <w:t>On February 28, 2008, the President signed into law the “Kids Transportation Safety Act of 2007.” The National Highway Traffic Safety Administration (NHTSA) had one year to initiate rulemaking to revise the federal standard to expand the field of view so that drivers can detect objects directly behind vehicles. NHTSA then has two years to determine how automakers must meet the rules, which may include the use of additional mirrors, sensors, rear back-up cameras (which could be in a mirror, navigation system or other LCD display). Once NHTSA publishes the new rules, automakers will have 48 months to comply with those rules for vehicles in the United States. The Company believes that its RCD Mirror is a cost competitive product that is relatively easy to implement and may be among the technologies that NHTSA will include as a means to meet the requirements of the legislation.</w:t>
      </w:r>
    </w:p>
    <w:p>
      <w:pPr>
        <w:spacing w:after="0" w:line="150" w:lineRule="exact"/>
        <w:rPr>
          <w:sz w:val="20"/>
          <w:szCs w:val="20"/>
          <w:color w:val="auto"/>
        </w:rPr>
      </w:pPr>
    </w:p>
    <w:p>
      <w:pPr>
        <w:ind w:left="280" w:right="2800"/>
        <w:spacing w:after="0" w:line="251" w:lineRule="auto"/>
        <w:rPr>
          <w:sz w:val="20"/>
          <w:szCs w:val="20"/>
          <w:color w:val="auto"/>
        </w:rPr>
      </w:pPr>
      <w:r>
        <w:rPr>
          <w:rFonts w:ascii="Arial" w:cs="Arial" w:eastAsia="Arial" w:hAnsi="Arial"/>
          <w:sz w:val="16"/>
          <w:szCs w:val="16"/>
          <w:color w:val="auto"/>
        </w:rPr>
        <w:t>The Company shipped approximately 11,001,000 interior auto-dimming mirrors in 2007, approximately 10,505,000 in 2008, and 8,623,000 in 2009.</w:t>
      </w:r>
    </w:p>
    <w:p>
      <w:pPr>
        <w:spacing w:after="0" w:line="138" w:lineRule="exact"/>
        <w:rPr>
          <w:sz w:val="20"/>
          <w:szCs w:val="20"/>
          <w:color w:val="auto"/>
        </w:rPr>
      </w:pPr>
    </w:p>
    <w:p>
      <w:pPr>
        <w:ind w:left="280" w:right="3280"/>
        <w:spacing w:after="0" w:line="244" w:lineRule="auto"/>
        <w:rPr>
          <w:sz w:val="20"/>
          <w:szCs w:val="20"/>
          <w:color w:val="auto"/>
        </w:rPr>
      </w:pPr>
      <w:r>
        <w:rPr>
          <w:rFonts w:ascii="Arial" w:cs="Arial" w:eastAsia="Arial" w:hAnsi="Arial"/>
          <w:sz w:val="16"/>
          <w:szCs w:val="16"/>
          <w:color w:val="auto"/>
        </w:rPr>
        <w:t>During 2009, interior total mirror unit shipments by the Company decreased primarily due to lower light vehicle production levels globally. The Company is currently shipping interior auto-dimming mirrors that are standard equipment or factory-installed options on certain trim levels to the following manufacturers: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1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BMW</w:t>
            </w:r>
          </w:p>
        </w:tc>
        <w:tc>
          <w:tcPr>
            <w:tcW w:w="2040" w:type="dxa"/>
            <w:vAlign w:val="bottom"/>
            <w:shd w:val="clear" w:color="auto" w:fill="CCEEFF"/>
          </w:tcPr>
          <w:p>
            <w:pPr>
              <w:ind w:left="540"/>
              <w:spacing w:after="0"/>
              <w:rPr>
                <w:sz w:val="20"/>
                <w:szCs w:val="20"/>
                <w:color w:val="auto"/>
              </w:rPr>
            </w:pPr>
            <w:r>
              <w:rPr>
                <w:rFonts w:ascii="Arial" w:cs="Arial" w:eastAsia="Arial" w:hAnsi="Arial"/>
                <w:sz w:val="16"/>
                <w:szCs w:val="16"/>
                <w:color w:val="auto"/>
              </w:rPr>
              <w:t>General Motors</w:t>
            </w:r>
          </w:p>
        </w:tc>
        <w:tc>
          <w:tcPr>
            <w:tcW w:w="2400" w:type="dxa"/>
            <w:vAlign w:val="bottom"/>
            <w:shd w:val="clear" w:color="auto" w:fill="CCEEFF"/>
          </w:tcPr>
          <w:p>
            <w:pPr>
              <w:ind w:left="720"/>
              <w:spacing w:after="0"/>
              <w:rPr>
                <w:sz w:val="20"/>
                <w:szCs w:val="20"/>
                <w:color w:val="auto"/>
              </w:rPr>
            </w:pPr>
            <w:r>
              <w:rPr>
                <w:rFonts w:ascii="Arial" w:cs="Arial" w:eastAsia="Arial" w:hAnsi="Arial"/>
                <w:sz w:val="16"/>
                <w:szCs w:val="16"/>
                <w:color w:val="auto"/>
              </w:rPr>
              <w:t>Mercedes-Benz</w:t>
            </w:r>
          </w:p>
        </w:tc>
        <w:tc>
          <w:tcPr>
            <w:tcW w:w="23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Toyota</w:t>
            </w:r>
          </w:p>
        </w:tc>
        <w:tc>
          <w:tcPr>
            <w:tcW w:w="2760" w:type="dxa"/>
            <w:vAlign w:val="bottom"/>
          </w:tcPr>
          <w:p>
            <w:pPr>
              <w:spacing w:after="0"/>
              <w:rPr>
                <w:sz w:val="16"/>
                <w:szCs w:val="16"/>
                <w:color w:val="auto"/>
              </w:rPr>
            </w:pPr>
          </w:p>
        </w:tc>
      </w:tr>
      <w:tr>
        <w:trPr>
          <w:trHeight w:val="182"/>
        </w:trPr>
        <w:tc>
          <w:tcPr>
            <w:tcW w:w="280" w:type="dxa"/>
            <w:vAlign w:val="bottom"/>
          </w:tcPr>
          <w:p>
            <w:pPr>
              <w:spacing w:after="0"/>
              <w:rPr>
                <w:sz w:val="15"/>
                <w:szCs w:val="15"/>
                <w:color w:val="auto"/>
              </w:rPr>
            </w:pPr>
          </w:p>
        </w:tc>
        <w:tc>
          <w:tcPr>
            <w:tcW w:w="1660" w:type="dxa"/>
            <w:vAlign w:val="bottom"/>
          </w:tcPr>
          <w:p>
            <w:pPr>
              <w:ind w:left="200"/>
              <w:spacing w:after="0" w:line="182" w:lineRule="exact"/>
              <w:rPr>
                <w:sz w:val="20"/>
                <w:szCs w:val="20"/>
                <w:color w:val="auto"/>
              </w:rPr>
            </w:pPr>
            <w:r>
              <w:rPr>
                <w:rFonts w:ascii="Arial" w:cs="Arial" w:eastAsia="Arial" w:hAnsi="Arial"/>
                <w:sz w:val="16"/>
                <w:szCs w:val="16"/>
                <w:color w:val="auto"/>
              </w:rPr>
              <w:t>-BMW</w:t>
            </w:r>
          </w:p>
        </w:tc>
        <w:tc>
          <w:tcPr>
            <w:tcW w:w="2040" w:type="dxa"/>
            <w:vAlign w:val="bottom"/>
          </w:tcPr>
          <w:p>
            <w:pPr>
              <w:ind w:left="740"/>
              <w:spacing w:after="0" w:line="182" w:lineRule="exact"/>
              <w:rPr>
                <w:sz w:val="20"/>
                <w:szCs w:val="20"/>
                <w:color w:val="auto"/>
              </w:rPr>
            </w:pPr>
            <w:r>
              <w:rPr>
                <w:rFonts w:ascii="Arial" w:cs="Arial" w:eastAsia="Arial" w:hAnsi="Arial"/>
                <w:sz w:val="16"/>
                <w:szCs w:val="16"/>
                <w:color w:val="auto"/>
              </w:rPr>
              <w:t>-Buick</w:t>
            </w:r>
          </w:p>
        </w:tc>
        <w:tc>
          <w:tcPr>
            <w:tcW w:w="2400" w:type="dxa"/>
            <w:vAlign w:val="bottom"/>
          </w:tcPr>
          <w:p>
            <w:pPr>
              <w:ind w:left="720"/>
              <w:spacing w:after="0" w:line="182" w:lineRule="exact"/>
              <w:rPr>
                <w:sz w:val="20"/>
                <w:szCs w:val="20"/>
                <w:color w:val="auto"/>
              </w:rPr>
            </w:pPr>
            <w:r>
              <w:rPr>
                <w:rFonts w:ascii="Arial" w:cs="Arial" w:eastAsia="Arial" w:hAnsi="Arial"/>
                <w:sz w:val="16"/>
                <w:szCs w:val="16"/>
                <w:color w:val="auto"/>
              </w:rPr>
              <w:t>Mitsubishi</w:t>
            </w:r>
          </w:p>
        </w:tc>
        <w:tc>
          <w:tcPr>
            <w:tcW w:w="2300" w:type="dxa"/>
            <w:vAlign w:val="bottom"/>
          </w:tcPr>
          <w:p>
            <w:pPr>
              <w:ind w:left="720"/>
              <w:spacing w:after="0" w:line="182" w:lineRule="exact"/>
              <w:rPr>
                <w:sz w:val="20"/>
                <w:szCs w:val="20"/>
                <w:color w:val="auto"/>
              </w:rPr>
            </w:pPr>
            <w:r>
              <w:rPr>
                <w:rFonts w:ascii="Arial" w:cs="Arial" w:eastAsia="Arial" w:hAnsi="Arial"/>
                <w:sz w:val="16"/>
                <w:szCs w:val="16"/>
                <w:color w:val="auto"/>
              </w:rPr>
              <w:t>-Lexus</w:t>
            </w: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166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-Rolls Royce</w:t>
            </w:r>
          </w:p>
        </w:tc>
        <w:tc>
          <w:tcPr>
            <w:tcW w:w="2040" w:type="dxa"/>
            <w:vAlign w:val="bottom"/>
            <w:shd w:val="clear" w:color="auto" w:fill="CCEEFF"/>
          </w:tcPr>
          <w:p>
            <w:pPr>
              <w:ind w:left="740"/>
              <w:spacing w:after="0" w:line="182" w:lineRule="exact"/>
              <w:rPr>
                <w:sz w:val="20"/>
                <w:szCs w:val="20"/>
                <w:color w:val="auto"/>
              </w:rPr>
            </w:pPr>
            <w:r>
              <w:rPr>
                <w:rFonts w:ascii="Arial" w:cs="Arial" w:eastAsia="Arial" w:hAnsi="Arial"/>
                <w:sz w:val="16"/>
                <w:szCs w:val="16"/>
                <w:color w:val="auto"/>
              </w:rPr>
              <w:t>-Cadillac</w:t>
            </w:r>
          </w:p>
        </w:tc>
        <w:tc>
          <w:tcPr>
            <w:tcW w:w="2400" w:type="dxa"/>
            <w:vAlign w:val="bottom"/>
            <w:shd w:val="clear" w:color="auto" w:fill="CCEEFF"/>
          </w:tcPr>
          <w:p>
            <w:pPr>
              <w:ind w:left="720"/>
              <w:spacing w:after="0" w:line="182" w:lineRule="exact"/>
              <w:rPr>
                <w:sz w:val="20"/>
                <w:szCs w:val="20"/>
                <w:color w:val="auto"/>
              </w:rPr>
            </w:pPr>
            <w:r>
              <w:rPr>
                <w:rFonts w:ascii="Arial" w:cs="Arial" w:eastAsia="Arial" w:hAnsi="Arial"/>
                <w:sz w:val="16"/>
                <w:szCs w:val="16"/>
                <w:color w:val="auto"/>
              </w:rPr>
              <w:t>Porsche</w:t>
            </w:r>
          </w:p>
        </w:tc>
        <w:tc>
          <w:tcPr>
            <w:tcW w:w="2300" w:type="dxa"/>
            <w:vAlign w:val="bottom"/>
            <w:shd w:val="clear" w:color="auto" w:fill="CCEEFF"/>
          </w:tcPr>
          <w:p>
            <w:pPr>
              <w:ind w:left="720"/>
              <w:spacing w:after="0" w:line="182" w:lineRule="exact"/>
              <w:rPr>
                <w:sz w:val="20"/>
                <w:szCs w:val="20"/>
                <w:color w:val="auto"/>
              </w:rPr>
            </w:pPr>
            <w:r>
              <w:rPr>
                <w:rFonts w:ascii="Arial" w:cs="Arial" w:eastAsia="Arial" w:hAnsi="Arial"/>
                <w:sz w:val="16"/>
                <w:szCs w:val="16"/>
                <w:color w:val="auto"/>
              </w:rPr>
              <w:t>-Toyota</w:t>
            </w: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1660" w:type="dxa"/>
            <w:vAlign w:val="bottom"/>
          </w:tcPr>
          <w:p>
            <w:pPr>
              <w:ind w:left="20"/>
              <w:spacing w:after="0" w:line="182" w:lineRule="exact"/>
              <w:rPr>
                <w:sz w:val="20"/>
                <w:szCs w:val="20"/>
                <w:color w:val="auto"/>
              </w:rPr>
            </w:pPr>
            <w:r>
              <w:rPr>
                <w:rFonts w:ascii="Arial" w:cs="Arial" w:eastAsia="Arial" w:hAnsi="Arial"/>
                <w:sz w:val="16"/>
                <w:szCs w:val="16"/>
                <w:color w:val="auto"/>
              </w:rPr>
              <w:t>Chrysler</w:t>
            </w:r>
          </w:p>
        </w:tc>
        <w:tc>
          <w:tcPr>
            <w:tcW w:w="2040" w:type="dxa"/>
            <w:vAlign w:val="bottom"/>
          </w:tcPr>
          <w:p>
            <w:pPr>
              <w:ind w:left="740"/>
              <w:spacing w:after="0" w:line="182" w:lineRule="exact"/>
              <w:rPr>
                <w:sz w:val="20"/>
                <w:szCs w:val="20"/>
                <w:color w:val="auto"/>
              </w:rPr>
            </w:pPr>
            <w:r>
              <w:rPr>
                <w:rFonts w:ascii="Arial" w:cs="Arial" w:eastAsia="Arial" w:hAnsi="Arial"/>
                <w:sz w:val="16"/>
                <w:szCs w:val="16"/>
                <w:color w:val="auto"/>
              </w:rPr>
              <w:t>-Chevrolet</w:t>
            </w:r>
          </w:p>
        </w:tc>
        <w:tc>
          <w:tcPr>
            <w:tcW w:w="2400" w:type="dxa"/>
            <w:vAlign w:val="bottom"/>
          </w:tcPr>
          <w:p>
            <w:pPr>
              <w:ind w:left="720"/>
              <w:spacing w:after="0" w:line="182" w:lineRule="exact"/>
              <w:rPr>
                <w:sz w:val="20"/>
                <w:szCs w:val="20"/>
                <w:color w:val="auto"/>
              </w:rPr>
            </w:pPr>
            <w:r>
              <w:rPr>
                <w:rFonts w:ascii="Arial" w:cs="Arial" w:eastAsia="Arial" w:hAnsi="Arial"/>
                <w:sz w:val="16"/>
                <w:szCs w:val="16"/>
                <w:color w:val="auto"/>
              </w:rPr>
              <w:t>PSA</w:t>
            </w:r>
          </w:p>
        </w:tc>
        <w:tc>
          <w:tcPr>
            <w:tcW w:w="2300" w:type="dxa"/>
            <w:vAlign w:val="bottom"/>
          </w:tcPr>
          <w:p>
            <w:pPr>
              <w:ind w:left="540"/>
              <w:spacing w:after="0" w:line="182" w:lineRule="exact"/>
              <w:rPr>
                <w:sz w:val="20"/>
                <w:szCs w:val="20"/>
                <w:color w:val="auto"/>
              </w:rPr>
            </w:pPr>
            <w:r>
              <w:rPr>
                <w:rFonts w:ascii="Arial" w:cs="Arial" w:eastAsia="Arial" w:hAnsi="Arial"/>
                <w:sz w:val="16"/>
                <w:szCs w:val="16"/>
                <w:color w:val="auto"/>
              </w:rPr>
              <w:t>Volga</w:t>
            </w: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166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-Chrysler</w:t>
            </w:r>
          </w:p>
        </w:tc>
        <w:tc>
          <w:tcPr>
            <w:tcW w:w="2040" w:type="dxa"/>
            <w:vAlign w:val="bottom"/>
            <w:shd w:val="clear" w:color="auto" w:fill="CCEEFF"/>
          </w:tcPr>
          <w:p>
            <w:pPr>
              <w:ind w:left="740"/>
              <w:spacing w:after="0" w:line="182" w:lineRule="exact"/>
              <w:rPr>
                <w:sz w:val="20"/>
                <w:szCs w:val="20"/>
                <w:color w:val="auto"/>
              </w:rPr>
            </w:pPr>
            <w:r>
              <w:rPr>
                <w:rFonts w:ascii="Arial" w:cs="Arial" w:eastAsia="Arial" w:hAnsi="Arial"/>
                <w:sz w:val="16"/>
                <w:szCs w:val="16"/>
                <w:color w:val="auto"/>
              </w:rPr>
              <w:t>-Daewoo</w:t>
            </w:r>
          </w:p>
        </w:tc>
        <w:tc>
          <w:tcPr>
            <w:tcW w:w="2400" w:type="dxa"/>
            <w:vAlign w:val="bottom"/>
            <w:shd w:val="clear" w:color="auto" w:fill="CCEEFF"/>
          </w:tcPr>
          <w:p>
            <w:pPr>
              <w:ind w:left="900"/>
              <w:spacing w:after="0" w:line="182" w:lineRule="exact"/>
              <w:rPr>
                <w:sz w:val="20"/>
                <w:szCs w:val="20"/>
                <w:color w:val="auto"/>
              </w:rPr>
            </w:pPr>
            <w:r>
              <w:rPr>
                <w:rFonts w:ascii="Arial" w:cs="Arial" w:eastAsia="Arial" w:hAnsi="Arial"/>
                <w:sz w:val="16"/>
                <w:szCs w:val="16"/>
                <w:color w:val="auto"/>
              </w:rPr>
              <w:t>-Citroen</w:t>
            </w:r>
          </w:p>
        </w:tc>
        <w:tc>
          <w:tcPr>
            <w:tcW w:w="2300" w:type="dxa"/>
            <w:vAlign w:val="bottom"/>
            <w:shd w:val="clear" w:color="auto" w:fill="CCEEFF"/>
          </w:tcPr>
          <w:p>
            <w:pPr>
              <w:ind w:left="540"/>
              <w:spacing w:after="0" w:line="182" w:lineRule="exact"/>
              <w:rPr>
                <w:sz w:val="20"/>
                <w:szCs w:val="20"/>
                <w:color w:val="auto"/>
              </w:rPr>
            </w:pPr>
            <w:r>
              <w:rPr>
                <w:rFonts w:ascii="Arial" w:cs="Arial" w:eastAsia="Arial" w:hAnsi="Arial"/>
                <w:sz w:val="16"/>
                <w:szCs w:val="16"/>
                <w:color w:val="auto"/>
              </w:rPr>
              <w:t>Volkswagen</w:t>
            </w: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1660" w:type="dxa"/>
            <w:vAlign w:val="bottom"/>
          </w:tcPr>
          <w:p>
            <w:pPr>
              <w:ind w:left="200"/>
              <w:spacing w:after="0" w:line="182" w:lineRule="exact"/>
              <w:rPr>
                <w:sz w:val="20"/>
                <w:szCs w:val="20"/>
                <w:color w:val="auto"/>
              </w:rPr>
            </w:pPr>
            <w:r>
              <w:rPr>
                <w:rFonts w:ascii="Arial" w:cs="Arial" w:eastAsia="Arial" w:hAnsi="Arial"/>
                <w:sz w:val="16"/>
                <w:szCs w:val="16"/>
                <w:color w:val="auto"/>
              </w:rPr>
              <w:t>-Dodge</w:t>
            </w:r>
          </w:p>
        </w:tc>
        <w:tc>
          <w:tcPr>
            <w:tcW w:w="2040" w:type="dxa"/>
            <w:vAlign w:val="bottom"/>
          </w:tcPr>
          <w:p>
            <w:pPr>
              <w:ind w:left="740"/>
              <w:spacing w:after="0" w:line="182" w:lineRule="exact"/>
              <w:rPr>
                <w:sz w:val="20"/>
                <w:szCs w:val="20"/>
                <w:color w:val="auto"/>
              </w:rPr>
            </w:pPr>
            <w:r>
              <w:rPr>
                <w:rFonts w:ascii="Arial" w:cs="Arial" w:eastAsia="Arial" w:hAnsi="Arial"/>
                <w:sz w:val="16"/>
                <w:szCs w:val="16"/>
                <w:color w:val="auto"/>
              </w:rPr>
              <w:t>-GMC</w:t>
            </w:r>
          </w:p>
        </w:tc>
        <w:tc>
          <w:tcPr>
            <w:tcW w:w="2400" w:type="dxa"/>
            <w:vAlign w:val="bottom"/>
          </w:tcPr>
          <w:p>
            <w:pPr>
              <w:ind w:left="900"/>
              <w:spacing w:after="0" w:line="182" w:lineRule="exact"/>
              <w:rPr>
                <w:sz w:val="20"/>
                <w:szCs w:val="20"/>
                <w:color w:val="auto"/>
              </w:rPr>
            </w:pPr>
            <w:r>
              <w:rPr>
                <w:rFonts w:ascii="Arial" w:cs="Arial" w:eastAsia="Arial" w:hAnsi="Arial"/>
                <w:sz w:val="16"/>
                <w:szCs w:val="16"/>
                <w:color w:val="auto"/>
              </w:rPr>
              <w:t>-Peugeot</w:t>
            </w:r>
          </w:p>
        </w:tc>
        <w:tc>
          <w:tcPr>
            <w:tcW w:w="2300" w:type="dxa"/>
            <w:vAlign w:val="bottom"/>
          </w:tcPr>
          <w:p>
            <w:pPr>
              <w:ind w:left="720"/>
              <w:spacing w:after="0" w:line="182" w:lineRule="exact"/>
              <w:rPr>
                <w:sz w:val="20"/>
                <w:szCs w:val="20"/>
                <w:color w:val="auto"/>
              </w:rPr>
            </w:pPr>
            <w:r>
              <w:rPr>
                <w:rFonts w:ascii="Arial" w:cs="Arial" w:eastAsia="Arial" w:hAnsi="Arial"/>
                <w:sz w:val="16"/>
                <w:szCs w:val="16"/>
                <w:color w:val="auto"/>
              </w:rPr>
              <w:t>-Audi</w:t>
            </w: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166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-Jeep</w:t>
            </w:r>
          </w:p>
        </w:tc>
        <w:tc>
          <w:tcPr>
            <w:tcW w:w="2040" w:type="dxa"/>
            <w:vAlign w:val="bottom"/>
            <w:shd w:val="clear" w:color="auto" w:fill="CCEEFF"/>
          </w:tcPr>
          <w:p>
            <w:pPr>
              <w:ind w:left="740"/>
              <w:spacing w:after="0" w:line="182" w:lineRule="exact"/>
              <w:rPr>
                <w:sz w:val="20"/>
                <w:szCs w:val="20"/>
                <w:color w:val="auto"/>
              </w:rPr>
            </w:pPr>
            <w:r>
              <w:rPr>
                <w:rFonts w:ascii="Arial" w:cs="Arial" w:eastAsia="Arial" w:hAnsi="Arial"/>
                <w:sz w:val="16"/>
                <w:szCs w:val="16"/>
                <w:color w:val="auto"/>
              </w:rPr>
              <w:t>-Hummer</w:t>
            </w:r>
          </w:p>
        </w:tc>
        <w:tc>
          <w:tcPr>
            <w:tcW w:w="2400" w:type="dxa"/>
            <w:vAlign w:val="bottom"/>
            <w:shd w:val="clear" w:color="auto" w:fill="CCEEFF"/>
          </w:tcPr>
          <w:p>
            <w:pPr>
              <w:ind w:left="720"/>
              <w:spacing w:after="0" w:line="182" w:lineRule="exact"/>
              <w:rPr>
                <w:sz w:val="20"/>
                <w:szCs w:val="20"/>
                <w:color w:val="auto"/>
              </w:rPr>
            </w:pPr>
            <w:r>
              <w:rPr>
                <w:rFonts w:ascii="Arial" w:cs="Arial" w:eastAsia="Arial" w:hAnsi="Arial"/>
                <w:sz w:val="16"/>
                <w:szCs w:val="16"/>
                <w:color w:val="auto"/>
              </w:rPr>
              <w:t>Renault/Nissan</w:t>
            </w:r>
          </w:p>
        </w:tc>
        <w:tc>
          <w:tcPr>
            <w:tcW w:w="2300" w:type="dxa"/>
            <w:vAlign w:val="bottom"/>
            <w:shd w:val="clear" w:color="auto" w:fill="CCEEFF"/>
          </w:tcPr>
          <w:p>
            <w:pPr>
              <w:ind w:left="720"/>
              <w:spacing w:after="0" w:line="182" w:lineRule="exact"/>
              <w:rPr>
                <w:sz w:val="20"/>
                <w:szCs w:val="20"/>
                <w:color w:val="auto"/>
              </w:rPr>
            </w:pPr>
            <w:r>
              <w:rPr>
                <w:rFonts w:ascii="Arial" w:cs="Arial" w:eastAsia="Arial" w:hAnsi="Arial"/>
                <w:sz w:val="16"/>
                <w:szCs w:val="16"/>
                <w:color w:val="auto"/>
              </w:rPr>
              <w:t>-Bentley</w:t>
            </w: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1660" w:type="dxa"/>
            <w:vAlign w:val="bottom"/>
          </w:tcPr>
          <w:p>
            <w:pPr>
              <w:ind w:left="20"/>
              <w:spacing w:after="0" w:line="182" w:lineRule="exact"/>
              <w:rPr>
                <w:sz w:val="20"/>
                <w:szCs w:val="20"/>
                <w:color w:val="auto"/>
              </w:rPr>
            </w:pPr>
            <w:r>
              <w:rPr>
                <w:rFonts w:ascii="Arial" w:cs="Arial" w:eastAsia="Arial" w:hAnsi="Arial"/>
                <w:sz w:val="16"/>
                <w:szCs w:val="16"/>
                <w:color w:val="auto"/>
              </w:rPr>
              <w:t>Fiat</w:t>
            </w:r>
          </w:p>
        </w:tc>
        <w:tc>
          <w:tcPr>
            <w:tcW w:w="2040" w:type="dxa"/>
            <w:vAlign w:val="bottom"/>
          </w:tcPr>
          <w:p>
            <w:pPr>
              <w:ind w:left="740"/>
              <w:spacing w:after="0" w:line="182" w:lineRule="exact"/>
              <w:rPr>
                <w:sz w:val="20"/>
                <w:szCs w:val="20"/>
                <w:color w:val="auto"/>
              </w:rPr>
            </w:pPr>
            <w:r>
              <w:rPr>
                <w:rFonts w:ascii="Arial" w:cs="Arial" w:eastAsia="Arial" w:hAnsi="Arial"/>
                <w:sz w:val="16"/>
                <w:szCs w:val="16"/>
                <w:color w:val="auto"/>
              </w:rPr>
              <w:t>-Opel</w:t>
            </w:r>
          </w:p>
        </w:tc>
        <w:tc>
          <w:tcPr>
            <w:tcW w:w="2400" w:type="dxa"/>
            <w:vAlign w:val="bottom"/>
          </w:tcPr>
          <w:p>
            <w:pPr>
              <w:ind w:left="900"/>
              <w:spacing w:after="0" w:line="182" w:lineRule="exact"/>
              <w:rPr>
                <w:sz w:val="20"/>
                <w:szCs w:val="20"/>
                <w:color w:val="auto"/>
              </w:rPr>
            </w:pPr>
            <w:r>
              <w:rPr>
                <w:rFonts w:ascii="Arial" w:cs="Arial" w:eastAsia="Arial" w:hAnsi="Arial"/>
                <w:sz w:val="16"/>
                <w:szCs w:val="16"/>
                <w:color w:val="auto"/>
              </w:rPr>
              <w:t>-Infiniti</w:t>
            </w:r>
          </w:p>
        </w:tc>
        <w:tc>
          <w:tcPr>
            <w:tcW w:w="2300" w:type="dxa"/>
            <w:vAlign w:val="bottom"/>
          </w:tcPr>
          <w:p>
            <w:pPr>
              <w:ind w:left="720"/>
              <w:spacing w:after="0" w:line="182" w:lineRule="exact"/>
              <w:rPr>
                <w:sz w:val="20"/>
                <w:szCs w:val="20"/>
                <w:color w:val="auto"/>
              </w:rPr>
            </w:pPr>
            <w:r>
              <w:rPr>
                <w:rFonts w:ascii="Arial" w:cs="Arial" w:eastAsia="Arial" w:hAnsi="Arial"/>
                <w:sz w:val="16"/>
                <w:szCs w:val="16"/>
                <w:color w:val="auto"/>
              </w:rPr>
              <w:t>-SEAT</w:t>
            </w: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166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-Alfa Romeo</w:t>
            </w:r>
          </w:p>
        </w:tc>
        <w:tc>
          <w:tcPr>
            <w:tcW w:w="2040" w:type="dxa"/>
            <w:vAlign w:val="bottom"/>
            <w:shd w:val="clear" w:color="auto" w:fill="CCEEFF"/>
          </w:tcPr>
          <w:p>
            <w:pPr>
              <w:ind w:left="740"/>
              <w:spacing w:after="0" w:line="182" w:lineRule="exact"/>
              <w:rPr>
                <w:sz w:val="20"/>
                <w:szCs w:val="20"/>
                <w:color w:val="auto"/>
              </w:rPr>
            </w:pPr>
            <w:r>
              <w:rPr>
                <w:rFonts w:ascii="Arial" w:cs="Arial" w:eastAsia="Arial" w:hAnsi="Arial"/>
                <w:sz w:val="16"/>
                <w:szCs w:val="16"/>
                <w:color w:val="auto"/>
              </w:rPr>
              <w:t>-Pontiac</w:t>
            </w:r>
          </w:p>
        </w:tc>
        <w:tc>
          <w:tcPr>
            <w:tcW w:w="2400" w:type="dxa"/>
            <w:vAlign w:val="bottom"/>
            <w:shd w:val="clear" w:color="auto" w:fill="CCEEFF"/>
          </w:tcPr>
          <w:p>
            <w:pPr>
              <w:ind w:left="900"/>
              <w:spacing w:after="0" w:line="182" w:lineRule="exact"/>
              <w:rPr>
                <w:sz w:val="20"/>
                <w:szCs w:val="20"/>
                <w:color w:val="auto"/>
              </w:rPr>
            </w:pPr>
            <w:r>
              <w:rPr>
                <w:rFonts w:ascii="Arial" w:cs="Arial" w:eastAsia="Arial" w:hAnsi="Arial"/>
                <w:sz w:val="16"/>
                <w:szCs w:val="16"/>
                <w:color w:val="auto"/>
              </w:rPr>
              <w:t>-Nissan</w:t>
            </w:r>
          </w:p>
        </w:tc>
        <w:tc>
          <w:tcPr>
            <w:tcW w:w="2300" w:type="dxa"/>
            <w:vAlign w:val="bottom"/>
            <w:shd w:val="clear" w:color="auto" w:fill="CCEEFF"/>
          </w:tcPr>
          <w:p>
            <w:pPr>
              <w:ind w:left="720"/>
              <w:spacing w:after="0" w:line="182" w:lineRule="exact"/>
              <w:rPr>
                <w:sz w:val="20"/>
                <w:szCs w:val="20"/>
                <w:color w:val="auto"/>
              </w:rPr>
            </w:pPr>
            <w:r>
              <w:rPr>
                <w:rFonts w:ascii="Arial" w:cs="Arial" w:eastAsia="Arial" w:hAnsi="Arial"/>
                <w:sz w:val="16"/>
                <w:szCs w:val="16"/>
                <w:color w:val="auto"/>
              </w:rPr>
              <w:t>-Skoda</w:t>
            </w: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1660" w:type="dxa"/>
            <w:vAlign w:val="bottom"/>
          </w:tcPr>
          <w:p>
            <w:pPr>
              <w:ind w:left="200"/>
              <w:spacing w:after="0" w:line="182" w:lineRule="exact"/>
              <w:rPr>
                <w:sz w:val="20"/>
                <w:szCs w:val="20"/>
                <w:color w:val="auto"/>
              </w:rPr>
            </w:pPr>
            <w:r>
              <w:rPr>
                <w:rFonts w:ascii="Arial" w:cs="Arial" w:eastAsia="Arial" w:hAnsi="Arial"/>
                <w:sz w:val="16"/>
                <w:szCs w:val="16"/>
                <w:color w:val="auto"/>
              </w:rPr>
              <w:t>-Fiat</w:t>
            </w:r>
          </w:p>
        </w:tc>
        <w:tc>
          <w:tcPr>
            <w:tcW w:w="2040" w:type="dxa"/>
            <w:vAlign w:val="bottom"/>
          </w:tcPr>
          <w:p>
            <w:pPr>
              <w:ind w:left="740"/>
              <w:spacing w:after="0" w:line="182" w:lineRule="exact"/>
              <w:rPr>
                <w:sz w:val="20"/>
                <w:szCs w:val="20"/>
                <w:color w:val="auto"/>
              </w:rPr>
            </w:pPr>
            <w:r>
              <w:rPr>
                <w:rFonts w:ascii="Arial" w:cs="Arial" w:eastAsia="Arial" w:hAnsi="Arial"/>
                <w:sz w:val="16"/>
                <w:szCs w:val="16"/>
                <w:color w:val="auto"/>
              </w:rPr>
              <w:t>-Saab</w:t>
            </w:r>
          </w:p>
        </w:tc>
        <w:tc>
          <w:tcPr>
            <w:tcW w:w="2400" w:type="dxa"/>
            <w:vAlign w:val="bottom"/>
          </w:tcPr>
          <w:p>
            <w:pPr>
              <w:ind w:left="900"/>
              <w:spacing w:after="0" w:line="182" w:lineRule="exact"/>
              <w:rPr>
                <w:sz w:val="20"/>
                <w:szCs w:val="20"/>
                <w:color w:val="auto"/>
              </w:rPr>
            </w:pPr>
            <w:r>
              <w:rPr>
                <w:rFonts w:ascii="Arial" w:cs="Arial" w:eastAsia="Arial" w:hAnsi="Arial"/>
                <w:sz w:val="16"/>
                <w:szCs w:val="16"/>
                <w:color w:val="auto"/>
              </w:rPr>
              <w:t>-Samsung</w:t>
            </w:r>
          </w:p>
        </w:tc>
        <w:tc>
          <w:tcPr>
            <w:tcW w:w="2300" w:type="dxa"/>
            <w:vAlign w:val="bottom"/>
          </w:tcPr>
          <w:p>
            <w:pPr>
              <w:ind w:left="720"/>
              <w:spacing w:after="0" w:line="182" w:lineRule="exact"/>
              <w:rPr>
                <w:sz w:val="20"/>
                <w:szCs w:val="20"/>
                <w:color w:val="auto"/>
              </w:rPr>
            </w:pPr>
            <w:r>
              <w:rPr>
                <w:rFonts w:ascii="Arial" w:cs="Arial" w:eastAsia="Arial" w:hAnsi="Arial"/>
                <w:sz w:val="16"/>
                <w:szCs w:val="16"/>
                <w:color w:val="auto"/>
              </w:rPr>
              <w:t>-Volkswagen</w:t>
            </w: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166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-Lancia</w:t>
            </w:r>
          </w:p>
        </w:tc>
        <w:tc>
          <w:tcPr>
            <w:tcW w:w="2040" w:type="dxa"/>
            <w:vAlign w:val="bottom"/>
            <w:shd w:val="clear" w:color="auto" w:fill="CCEEFF"/>
          </w:tcPr>
          <w:p>
            <w:pPr>
              <w:ind w:left="740"/>
              <w:spacing w:after="0" w:line="182" w:lineRule="exact"/>
              <w:rPr>
                <w:sz w:val="20"/>
                <w:szCs w:val="20"/>
                <w:color w:val="auto"/>
              </w:rPr>
            </w:pPr>
            <w:r>
              <w:rPr>
                <w:rFonts w:ascii="Arial" w:cs="Arial" w:eastAsia="Arial" w:hAnsi="Arial"/>
                <w:sz w:val="16"/>
                <w:szCs w:val="16"/>
                <w:color w:val="auto"/>
              </w:rPr>
              <w:t>-Saturn</w:t>
            </w:r>
          </w:p>
        </w:tc>
        <w:tc>
          <w:tcPr>
            <w:tcW w:w="2400" w:type="dxa"/>
            <w:vAlign w:val="bottom"/>
            <w:shd w:val="clear" w:color="auto" w:fill="CCEEFF"/>
          </w:tcPr>
          <w:p>
            <w:pPr>
              <w:ind w:left="720"/>
              <w:spacing w:after="0" w:line="182" w:lineRule="exact"/>
              <w:rPr>
                <w:sz w:val="20"/>
                <w:szCs w:val="20"/>
                <w:color w:val="auto"/>
              </w:rPr>
            </w:pPr>
            <w:r>
              <w:rPr>
                <w:rFonts w:ascii="Arial" w:cs="Arial" w:eastAsia="Arial" w:hAnsi="Arial"/>
                <w:sz w:val="16"/>
                <w:szCs w:val="16"/>
                <w:color w:val="auto"/>
              </w:rPr>
              <w:t>SAIC</w:t>
            </w:r>
          </w:p>
        </w:tc>
        <w:tc>
          <w:tcPr>
            <w:tcW w:w="2300" w:type="dxa"/>
            <w:vAlign w:val="bottom"/>
            <w:shd w:val="clear" w:color="auto" w:fill="CCEEFF"/>
          </w:tcPr>
          <w:p>
            <w:pPr>
              <w:spacing w:after="0"/>
              <w:rPr>
                <w:sz w:val="15"/>
                <w:szCs w:val="15"/>
                <w:color w:val="auto"/>
              </w:rPr>
            </w:pP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1660" w:type="dxa"/>
            <w:vAlign w:val="bottom"/>
          </w:tcPr>
          <w:p>
            <w:pPr>
              <w:ind w:left="200"/>
              <w:spacing w:after="0" w:line="182" w:lineRule="exact"/>
              <w:rPr>
                <w:sz w:val="20"/>
                <w:szCs w:val="20"/>
                <w:color w:val="auto"/>
              </w:rPr>
            </w:pPr>
            <w:r>
              <w:rPr>
                <w:rFonts w:ascii="Arial" w:cs="Arial" w:eastAsia="Arial" w:hAnsi="Arial"/>
                <w:sz w:val="16"/>
                <w:szCs w:val="16"/>
                <w:color w:val="auto"/>
              </w:rPr>
              <w:t>-Maserati</w:t>
            </w:r>
          </w:p>
        </w:tc>
        <w:tc>
          <w:tcPr>
            <w:tcW w:w="2040" w:type="dxa"/>
            <w:vAlign w:val="bottom"/>
          </w:tcPr>
          <w:p>
            <w:pPr>
              <w:ind w:left="540"/>
              <w:spacing w:after="0" w:line="182" w:lineRule="exact"/>
              <w:rPr>
                <w:sz w:val="20"/>
                <w:szCs w:val="20"/>
                <w:color w:val="auto"/>
              </w:rPr>
            </w:pPr>
            <w:r>
              <w:rPr>
                <w:rFonts w:ascii="Arial" w:cs="Arial" w:eastAsia="Arial" w:hAnsi="Arial"/>
                <w:sz w:val="16"/>
                <w:szCs w:val="16"/>
                <w:color w:val="auto"/>
              </w:rPr>
              <w:t>Honda</w:t>
            </w:r>
          </w:p>
        </w:tc>
        <w:tc>
          <w:tcPr>
            <w:tcW w:w="2400" w:type="dxa"/>
            <w:vAlign w:val="bottom"/>
          </w:tcPr>
          <w:p>
            <w:pPr>
              <w:ind w:left="900"/>
              <w:spacing w:after="0" w:line="182" w:lineRule="exact"/>
              <w:rPr>
                <w:sz w:val="20"/>
                <w:szCs w:val="20"/>
                <w:color w:val="auto"/>
              </w:rPr>
            </w:pPr>
            <w:r>
              <w:rPr>
                <w:rFonts w:ascii="Arial" w:cs="Arial" w:eastAsia="Arial" w:hAnsi="Arial"/>
                <w:sz w:val="16"/>
                <w:szCs w:val="16"/>
                <w:color w:val="auto"/>
              </w:rPr>
              <w:t>-Roewe</w:t>
            </w:r>
          </w:p>
        </w:tc>
        <w:tc>
          <w:tcPr>
            <w:tcW w:w="230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166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Ford</w:t>
            </w:r>
          </w:p>
        </w:tc>
        <w:tc>
          <w:tcPr>
            <w:tcW w:w="2040" w:type="dxa"/>
            <w:vAlign w:val="bottom"/>
            <w:shd w:val="clear" w:color="auto" w:fill="CCEEFF"/>
          </w:tcPr>
          <w:p>
            <w:pPr>
              <w:ind w:left="740"/>
              <w:spacing w:after="0" w:line="182" w:lineRule="exact"/>
              <w:rPr>
                <w:sz w:val="20"/>
                <w:szCs w:val="20"/>
                <w:color w:val="auto"/>
              </w:rPr>
            </w:pPr>
            <w:r>
              <w:rPr>
                <w:rFonts w:ascii="Arial" w:cs="Arial" w:eastAsia="Arial" w:hAnsi="Arial"/>
                <w:sz w:val="16"/>
                <w:szCs w:val="16"/>
                <w:color w:val="auto"/>
              </w:rPr>
              <w:t>-Acura</w:t>
            </w:r>
          </w:p>
        </w:tc>
        <w:tc>
          <w:tcPr>
            <w:tcW w:w="2400" w:type="dxa"/>
            <w:vAlign w:val="bottom"/>
            <w:shd w:val="clear" w:color="auto" w:fill="CCEEFF"/>
          </w:tcPr>
          <w:p>
            <w:pPr>
              <w:ind w:left="900"/>
              <w:spacing w:after="0" w:line="182" w:lineRule="exact"/>
              <w:rPr>
                <w:sz w:val="20"/>
                <w:szCs w:val="20"/>
                <w:color w:val="auto"/>
              </w:rPr>
            </w:pPr>
            <w:r>
              <w:rPr>
                <w:rFonts w:ascii="Arial" w:cs="Arial" w:eastAsia="Arial" w:hAnsi="Arial"/>
                <w:sz w:val="16"/>
                <w:szCs w:val="16"/>
                <w:color w:val="auto"/>
              </w:rPr>
              <w:t>-Ssangyong</w:t>
            </w:r>
          </w:p>
        </w:tc>
        <w:tc>
          <w:tcPr>
            <w:tcW w:w="2300" w:type="dxa"/>
            <w:vAlign w:val="bottom"/>
            <w:shd w:val="clear" w:color="auto" w:fill="CCEEFF"/>
          </w:tcPr>
          <w:p>
            <w:pPr>
              <w:spacing w:after="0"/>
              <w:rPr>
                <w:sz w:val="15"/>
                <w:szCs w:val="15"/>
                <w:color w:val="auto"/>
              </w:rPr>
            </w:pP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1660" w:type="dxa"/>
            <w:vAlign w:val="bottom"/>
          </w:tcPr>
          <w:p>
            <w:pPr>
              <w:ind w:left="200"/>
              <w:spacing w:after="0" w:line="182" w:lineRule="exact"/>
              <w:rPr>
                <w:sz w:val="20"/>
                <w:szCs w:val="20"/>
                <w:color w:val="auto"/>
              </w:rPr>
            </w:pPr>
            <w:r>
              <w:rPr>
                <w:rFonts w:ascii="Arial" w:cs="Arial" w:eastAsia="Arial" w:hAnsi="Arial"/>
                <w:sz w:val="16"/>
                <w:szCs w:val="16"/>
                <w:color w:val="auto"/>
              </w:rPr>
              <w:t>-Ford</w:t>
            </w:r>
          </w:p>
        </w:tc>
        <w:tc>
          <w:tcPr>
            <w:tcW w:w="2040" w:type="dxa"/>
            <w:vAlign w:val="bottom"/>
          </w:tcPr>
          <w:p>
            <w:pPr>
              <w:ind w:left="740"/>
              <w:spacing w:after="0" w:line="182" w:lineRule="exact"/>
              <w:rPr>
                <w:sz w:val="20"/>
                <w:szCs w:val="20"/>
                <w:color w:val="auto"/>
              </w:rPr>
            </w:pPr>
            <w:r>
              <w:rPr>
                <w:rFonts w:ascii="Arial" w:cs="Arial" w:eastAsia="Arial" w:hAnsi="Arial"/>
                <w:sz w:val="16"/>
                <w:szCs w:val="16"/>
                <w:color w:val="auto"/>
              </w:rPr>
              <w:t>-Honda</w:t>
            </w:r>
          </w:p>
        </w:tc>
        <w:tc>
          <w:tcPr>
            <w:tcW w:w="2400" w:type="dxa"/>
            <w:vAlign w:val="bottom"/>
          </w:tcPr>
          <w:p>
            <w:pPr>
              <w:ind w:left="720"/>
              <w:spacing w:after="0" w:line="182" w:lineRule="exact"/>
              <w:rPr>
                <w:sz w:val="20"/>
                <w:szCs w:val="20"/>
                <w:color w:val="auto"/>
              </w:rPr>
            </w:pPr>
            <w:r>
              <w:rPr>
                <w:rFonts w:ascii="Arial" w:cs="Arial" w:eastAsia="Arial" w:hAnsi="Arial"/>
                <w:sz w:val="16"/>
                <w:szCs w:val="16"/>
                <w:color w:val="auto"/>
              </w:rPr>
              <w:t>Subaru</w:t>
            </w:r>
          </w:p>
        </w:tc>
        <w:tc>
          <w:tcPr>
            <w:tcW w:w="230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166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-Lincoln</w:t>
            </w:r>
          </w:p>
        </w:tc>
        <w:tc>
          <w:tcPr>
            <w:tcW w:w="2040" w:type="dxa"/>
            <w:vAlign w:val="bottom"/>
            <w:shd w:val="clear" w:color="auto" w:fill="CCEEFF"/>
          </w:tcPr>
          <w:p>
            <w:pPr>
              <w:ind w:left="540"/>
              <w:spacing w:after="0" w:line="182" w:lineRule="exact"/>
              <w:rPr>
                <w:sz w:val="20"/>
                <w:szCs w:val="20"/>
                <w:color w:val="auto"/>
              </w:rPr>
            </w:pPr>
            <w:r>
              <w:rPr>
                <w:rFonts w:ascii="Arial" w:cs="Arial" w:eastAsia="Arial" w:hAnsi="Arial"/>
                <w:sz w:val="16"/>
                <w:szCs w:val="16"/>
                <w:color w:val="auto"/>
              </w:rPr>
              <w:t>Hongqi</w:t>
            </w:r>
          </w:p>
        </w:tc>
        <w:tc>
          <w:tcPr>
            <w:tcW w:w="2400" w:type="dxa"/>
            <w:vAlign w:val="bottom"/>
            <w:shd w:val="clear" w:color="auto" w:fill="CCEEFF"/>
          </w:tcPr>
          <w:p>
            <w:pPr>
              <w:ind w:left="720"/>
              <w:spacing w:after="0" w:line="182" w:lineRule="exact"/>
              <w:rPr>
                <w:sz w:val="20"/>
                <w:szCs w:val="20"/>
                <w:color w:val="auto"/>
              </w:rPr>
            </w:pPr>
            <w:r>
              <w:rPr>
                <w:rFonts w:ascii="Arial" w:cs="Arial" w:eastAsia="Arial" w:hAnsi="Arial"/>
                <w:sz w:val="16"/>
                <w:szCs w:val="16"/>
                <w:color w:val="auto"/>
              </w:rPr>
              <w:t>Suzuki</w:t>
            </w:r>
          </w:p>
        </w:tc>
        <w:tc>
          <w:tcPr>
            <w:tcW w:w="2300" w:type="dxa"/>
            <w:vAlign w:val="bottom"/>
            <w:shd w:val="clear" w:color="auto" w:fill="CCEEFF"/>
          </w:tcPr>
          <w:p>
            <w:pPr>
              <w:spacing w:after="0"/>
              <w:rPr>
                <w:sz w:val="15"/>
                <w:szCs w:val="15"/>
                <w:color w:val="auto"/>
              </w:rPr>
            </w:pP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1660" w:type="dxa"/>
            <w:vAlign w:val="bottom"/>
          </w:tcPr>
          <w:p>
            <w:pPr>
              <w:ind w:left="200"/>
              <w:spacing w:after="0" w:line="182" w:lineRule="exact"/>
              <w:rPr>
                <w:sz w:val="20"/>
                <w:szCs w:val="20"/>
                <w:color w:val="auto"/>
              </w:rPr>
            </w:pPr>
            <w:r>
              <w:rPr>
                <w:rFonts w:ascii="Arial" w:cs="Arial" w:eastAsia="Arial" w:hAnsi="Arial"/>
                <w:sz w:val="16"/>
                <w:szCs w:val="16"/>
                <w:color w:val="auto"/>
              </w:rPr>
              <w:t>-Mazda</w:t>
            </w:r>
          </w:p>
        </w:tc>
        <w:tc>
          <w:tcPr>
            <w:tcW w:w="2040" w:type="dxa"/>
            <w:vAlign w:val="bottom"/>
          </w:tcPr>
          <w:p>
            <w:pPr>
              <w:ind w:left="540"/>
              <w:spacing w:after="0" w:line="182" w:lineRule="exact"/>
              <w:rPr>
                <w:sz w:val="20"/>
                <w:szCs w:val="20"/>
                <w:color w:val="auto"/>
              </w:rPr>
            </w:pPr>
            <w:r>
              <w:rPr>
                <w:rFonts w:ascii="Arial" w:cs="Arial" w:eastAsia="Arial" w:hAnsi="Arial"/>
                <w:sz w:val="16"/>
                <w:szCs w:val="16"/>
                <w:color w:val="auto"/>
              </w:rPr>
              <w:t>Hyundai</w:t>
            </w:r>
          </w:p>
        </w:tc>
        <w:tc>
          <w:tcPr>
            <w:tcW w:w="2400" w:type="dxa"/>
            <w:vAlign w:val="bottom"/>
          </w:tcPr>
          <w:p>
            <w:pPr>
              <w:ind w:left="720"/>
              <w:spacing w:after="0" w:line="182" w:lineRule="exact"/>
              <w:rPr>
                <w:sz w:val="20"/>
                <w:szCs w:val="20"/>
                <w:color w:val="auto"/>
              </w:rPr>
            </w:pPr>
            <w:r>
              <w:rPr>
                <w:rFonts w:ascii="Arial" w:cs="Arial" w:eastAsia="Arial" w:hAnsi="Arial"/>
                <w:sz w:val="16"/>
                <w:szCs w:val="16"/>
                <w:color w:val="auto"/>
              </w:rPr>
              <w:t>Tata</w:t>
            </w:r>
          </w:p>
        </w:tc>
        <w:tc>
          <w:tcPr>
            <w:tcW w:w="230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166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-Mercury</w:t>
            </w:r>
          </w:p>
        </w:tc>
        <w:tc>
          <w:tcPr>
            <w:tcW w:w="2040" w:type="dxa"/>
            <w:vAlign w:val="bottom"/>
            <w:shd w:val="clear" w:color="auto" w:fill="CCEEFF"/>
          </w:tcPr>
          <w:p>
            <w:pPr>
              <w:ind w:left="740"/>
              <w:spacing w:after="0" w:line="182" w:lineRule="exact"/>
              <w:rPr>
                <w:sz w:val="20"/>
                <w:szCs w:val="20"/>
                <w:color w:val="auto"/>
              </w:rPr>
            </w:pPr>
            <w:r>
              <w:rPr>
                <w:rFonts w:ascii="Arial" w:cs="Arial" w:eastAsia="Arial" w:hAnsi="Arial"/>
                <w:sz w:val="16"/>
                <w:szCs w:val="16"/>
                <w:color w:val="auto"/>
              </w:rPr>
              <w:t>-Hyundai</w:t>
            </w:r>
          </w:p>
        </w:tc>
        <w:tc>
          <w:tcPr>
            <w:tcW w:w="2400" w:type="dxa"/>
            <w:vAlign w:val="bottom"/>
            <w:shd w:val="clear" w:color="auto" w:fill="CCEEFF"/>
          </w:tcPr>
          <w:p>
            <w:pPr>
              <w:ind w:left="900"/>
              <w:spacing w:after="0" w:line="182" w:lineRule="exact"/>
              <w:rPr>
                <w:sz w:val="20"/>
                <w:szCs w:val="20"/>
                <w:color w:val="auto"/>
              </w:rPr>
            </w:pPr>
            <w:r>
              <w:rPr>
                <w:rFonts w:ascii="Arial" w:cs="Arial" w:eastAsia="Arial" w:hAnsi="Arial"/>
                <w:sz w:val="16"/>
                <w:szCs w:val="16"/>
                <w:color w:val="auto"/>
              </w:rPr>
              <w:t>-Jaguar</w:t>
            </w:r>
          </w:p>
        </w:tc>
        <w:tc>
          <w:tcPr>
            <w:tcW w:w="2300" w:type="dxa"/>
            <w:vAlign w:val="bottom"/>
            <w:shd w:val="clear" w:color="auto" w:fill="CCEEFF"/>
          </w:tcPr>
          <w:p>
            <w:pPr>
              <w:spacing w:after="0"/>
              <w:rPr>
                <w:sz w:val="15"/>
                <w:szCs w:val="15"/>
                <w:color w:val="auto"/>
              </w:rPr>
            </w:pPr>
          </w:p>
        </w:tc>
        <w:tc>
          <w:tcPr>
            <w:tcW w:w="2760" w:type="dxa"/>
            <w:vAlign w:val="bottom"/>
          </w:tcPr>
          <w:p>
            <w:pPr>
              <w:spacing w:after="0"/>
              <w:rPr>
                <w:sz w:val="15"/>
                <w:szCs w:val="15"/>
                <w:color w:val="auto"/>
              </w:rPr>
            </w:pPr>
          </w:p>
        </w:tc>
      </w:tr>
      <w:tr>
        <w:trPr>
          <w:trHeight w:val="195"/>
        </w:trPr>
        <w:tc>
          <w:tcPr>
            <w:tcW w:w="280" w:type="dxa"/>
            <w:vAlign w:val="bottom"/>
          </w:tcPr>
          <w:p>
            <w:pPr>
              <w:spacing w:after="0"/>
              <w:rPr>
                <w:sz w:val="16"/>
                <w:szCs w:val="16"/>
                <w:color w:val="auto"/>
              </w:rPr>
            </w:pPr>
          </w:p>
        </w:tc>
        <w:tc>
          <w:tcPr>
            <w:tcW w:w="1660" w:type="dxa"/>
            <w:vAlign w:val="bottom"/>
          </w:tcPr>
          <w:p>
            <w:pPr>
              <w:ind w:left="200"/>
              <w:spacing w:after="0"/>
              <w:rPr>
                <w:sz w:val="20"/>
                <w:szCs w:val="20"/>
                <w:color w:val="auto"/>
              </w:rPr>
            </w:pPr>
            <w:r>
              <w:rPr>
                <w:rFonts w:ascii="Arial" w:cs="Arial" w:eastAsia="Arial" w:hAnsi="Arial"/>
                <w:sz w:val="16"/>
                <w:szCs w:val="16"/>
                <w:color w:val="auto"/>
              </w:rPr>
              <w:t>-Volvo</w:t>
            </w:r>
          </w:p>
        </w:tc>
        <w:tc>
          <w:tcPr>
            <w:tcW w:w="2040" w:type="dxa"/>
            <w:vAlign w:val="bottom"/>
          </w:tcPr>
          <w:p>
            <w:pPr>
              <w:ind w:left="740"/>
              <w:spacing w:after="0"/>
              <w:rPr>
                <w:sz w:val="20"/>
                <w:szCs w:val="20"/>
                <w:color w:val="auto"/>
              </w:rPr>
            </w:pPr>
            <w:r>
              <w:rPr>
                <w:rFonts w:ascii="Arial" w:cs="Arial" w:eastAsia="Arial" w:hAnsi="Arial"/>
                <w:sz w:val="16"/>
                <w:szCs w:val="16"/>
                <w:color w:val="auto"/>
              </w:rPr>
              <w:t>-Kia</w:t>
            </w:r>
          </w:p>
        </w:tc>
        <w:tc>
          <w:tcPr>
            <w:tcW w:w="2400" w:type="dxa"/>
            <w:vAlign w:val="bottom"/>
          </w:tcPr>
          <w:p>
            <w:pPr>
              <w:ind w:left="900"/>
              <w:spacing w:after="0"/>
              <w:rPr>
                <w:sz w:val="20"/>
                <w:szCs w:val="20"/>
                <w:color w:val="auto"/>
              </w:rPr>
            </w:pPr>
            <w:r>
              <w:rPr>
                <w:rFonts w:ascii="Arial" w:cs="Arial" w:eastAsia="Arial" w:hAnsi="Arial"/>
                <w:sz w:val="16"/>
                <w:szCs w:val="16"/>
                <w:color w:val="auto"/>
              </w:rPr>
              <w:t>-Land Rover</w:t>
            </w:r>
          </w:p>
        </w:tc>
        <w:tc>
          <w:tcPr>
            <w:tcW w:w="2300" w:type="dxa"/>
            <w:vAlign w:val="bottom"/>
          </w:tcPr>
          <w:p>
            <w:pPr>
              <w:spacing w:after="0"/>
              <w:rPr>
                <w:sz w:val="16"/>
                <w:szCs w:val="16"/>
                <w:color w:val="auto"/>
              </w:rPr>
            </w:pPr>
          </w:p>
        </w:tc>
        <w:tc>
          <w:tcPr>
            <w:tcW w:w="2760" w:type="dxa"/>
            <w:vAlign w:val="bottom"/>
          </w:tcPr>
          <w:p>
            <w:pPr>
              <w:spacing w:after="0"/>
              <w:rPr>
                <w:sz w:val="16"/>
                <w:szCs w:val="16"/>
                <w:color w:val="auto"/>
              </w:rPr>
            </w:pPr>
          </w:p>
        </w:tc>
      </w:tr>
      <w:tr>
        <w:trPr>
          <w:trHeight w:val="692"/>
        </w:trPr>
        <w:tc>
          <w:tcPr>
            <w:tcW w:w="2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0" w:type="dxa"/>
            <w:vAlign w:val="bottom"/>
          </w:tcPr>
          <w:p>
            <w:pPr>
              <w:ind w:left="360"/>
              <w:spacing w:after="0"/>
              <w:rPr>
                <w:sz w:val="20"/>
                <w:szCs w:val="20"/>
                <w:color w:val="auto"/>
              </w:rPr>
            </w:pPr>
            <w:r>
              <w:rPr>
                <w:rFonts w:ascii="Arial" w:cs="Arial" w:eastAsia="Arial" w:hAnsi="Arial"/>
                <w:sz w:val="16"/>
                <w:szCs w:val="16"/>
                <w:color w:val="auto"/>
              </w:rPr>
              <w:t>- 4 -</w:t>
            </w:r>
          </w:p>
        </w:tc>
        <w:tc>
          <w:tcPr>
            <w:tcW w:w="230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91"/>
        </w:trPr>
        <w:tc>
          <w:tcPr>
            <w:tcW w:w="280" w:type="dxa"/>
            <w:vAlign w:val="bottom"/>
            <w:tcBorders>
              <w:bottom w:val="single" w:sz="8" w:color="808080"/>
            </w:tcBorders>
          </w:tcPr>
          <w:p>
            <w:pPr>
              <w:spacing w:after="0"/>
              <w:rPr>
                <w:sz w:val="16"/>
                <w:szCs w:val="16"/>
                <w:color w:val="auto"/>
              </w:rPr>
            </w:pPr>
          </w:p>
        </w:tc>
        <w:tc>
          <w:tcPr>
            <w:tcW w:w="1660" w:type="dxa"/>
            <w:vAlign w:val="bottom"/>
            <w:tcBorders>
              <w:bottom w:val="single" w:sz="8" w:color="808080"/>
            </w:tcBorders>
          </w:tcPr>
          <w:p>
            <w:pPr>
              <w:spacing w:after="0"/>
              <w:rPr>
                <w:sz w:val="16"/>
                <w:szCs w:val="16"/>
                <w:color w:val="auto"/>
              </w:rPr>
            </w:pPr>
          </w:p>
        </w:tc>
        <w:tc>
          <w:tcPr>
            <w:tcW w:w="2040" w:type="dxa"/>
            <w:vAlign w:val="bottom"/>
            <w:tcBorders>
              <w:bottom w:val="single" w:sz="8" w:color="808080"/>
            </w:tcBorders>
          </w:tcPr>
          <w:p>
            <w:pPr>
              <w:spacing w:after="0"/>
              <w:rPr>
                <w:sz w:val="16"/>
                <w:szCs w:val="16"/>
                <w:color w:val="auto"/>
              </w:rPr>
            </w:pPr>
          </w:p>
        </w:tc>
        <w:tc>
          <w:tcPr>
            <w:tcW w:w="2400" w:type="dxa"/>
            <w:vAlign w:val="bottom"/>
            <w:tcBorders>
              <w:bottom w:val="single" w:sz="8" w:color="808080"/>
            </w:tcBorders>
          </w:tcPr>
          <w:p>
            <w:pPr>
              <w:spacing w:after="0"/>
              <w:rPr>
                <w:sz w:val="16"/>
                <w:szCs w:val="16"/>
                <w:color w:val="auto"/>
              </w:rPr>
            </w:pPr>
          </w:p>
        </w:tc>
        <w:tc>
          <w:tcPr>
            <w:tcW w:w="2300" w:type="dxa"/>
            <w:vAlign w:val="bottom"/>
            <w:tcBorders>
              <w:bottom w:val="single" w:sz="8" w:color="808080"/>
            </w:tcBorders>
          </w:tcPr>
          <w:p>
            <w:pPr>
              <w:spacing w:after="0"/>
              <w:rPr>
                <w:sz w:val="16"/>
                <w:szCs w:val="16"/>
                <w:color w:val="auto"/>
              </w:rPr>
            </w:pPr>
          </w:p>
        </w:tc>
        <w:tc>
          <w:tcPr>
            <w:tcW w:w="27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91" w:right="21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280" w:right="3719"/>
        <w:spacing w:after="0" w:line="251" w:lineRule="auto"/>
        <w:rPr>
          <w:sz w:val="20"/>
          <w:szCs w:val="20"/>
          <w:color w:val="auto"/>
        </w:rPr>
      </w:pPr>
      <w:r>
        <w:rPr>
          <w:rFonts w:ascii="Arial" w:cs="Arial" w:eastAsia="Arial" w:hAnsi="Arial"/>
          <w:sz w:val="16"/>
          <w:szCs w:val="16"/>
          <w:color w:val="auto"/>
        </w:rPr>
        <w:t xml:space="preserve">Additional details regarding vehicle models are available on the Company’s web-site at </w:t>
      </w:r>
      <w:r>
        <w:rPr>
          <w:rFonts w:ascii="Arial" w:cs="Arial" w:eastAsia="Arial" w:hAnsi="Arial"/>
          <w:sz w:val="16"/>
          <w:szCs w:val="16"/>
          <w:u w:val="single" w:color="auto"/>
          <w:color w:val="auto"/>
        </w:rPr>
        <w:t>http://www.easyir.com/easyir/gentex/VehicleModelList.pdf</w:t>
      </w:r>
    </w:p>
    <w:p>
      <w:pPr>
        <w:spacing w:after="0" w:line="134" w:lineRule="exact"/>
        <w:rPr>
          <w:sz w:val="20"/>
          <w:szCs w:val="20"/>
          <w:color w:val="auto"/>
        </w:rPr>
      </w:pPr>
    </w:p>
    <w:p>
      <w:pPr>
        <w:ind w:left="280" w:right="1539"/>
        <w:spacing w:after="0"/>
        <w:rPr>
          <w:sz w:val="20"/>
          <w:szCs w:val="20"/>
          <w:color w:val="auto"/>
        </w:rPr>
      </w:pPr>
      <w:r>
        <w:rPr>
          <w:rFonts w:ascii="Arial" w:cs="Arial" w:eastAsia="Arial" w:hAnsi="Arial"/>
          <w:sz w:val="16"/>
          <w:szCs w:val="16"/>
          <w:i w:val="1"/>
          <w:iCs w:val="1"/>
          <w:u w:val="single" w:color="auto"/>
          <w:color w:val="auto"/>
        </w:rPr>
        <w:t>Exterior Auto-Dimming Mirror Sub-Assemblies</w:t>
      </w:r>
      <w:r>
        <w:rPr>
          <w:rFonts w:ascii="Arial" w:cs="Arial" w:eastAsia="Arial" w:hAnsi="Arial"/>
          <w:sz w:val="16"/>
          <w:szCs w:val="16"/>
          <w:color w:val="auto"/>
        </w:rPr>
        <w:t>. The Company has devoted substantial research and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efforts to the development of its electrochromic technology to permit its use in exterior rearview mirrors. Exterior auto-dimming mirrors are controlled by the sensors and electronic circuitry in the interior auto-dimming mirror, and both the interior and exterior mirrors dim simultaneously. During 1991, the Company’s efforts culminated in a design that is intended to provide acceptable long-term performance in all automotive environments likely to be encountered. In 1994, the Company began shipments of its complete three-mirror system, including the convex (curved glass) wide-angle auto-dimming mirror to BMW. During 1997, the Company began making volume shipments of additional new exterior mirror products: thin glass flat and aspheric mirrors. During 2001 and 2002, the Company began making shipments of the world’s first exterior automatic-dimming mirrors with built-in turn-signal indicators to Southeast Toyota and General Motors. The Company currently offers its exterior auto-dimming mirrors with turn-signal indicators and side blind zone features. The Company currently sells its exterior auto-dimming mirror sub-assemblies to exterior mirror suppliers of the automakers who assemble the exterior auto-dimming mirror sub-assemblies into full mirror units for subsequent resale to the automakers.</w:t>
      </w:r>
    </w:p>
    <w:p>
      <w:pPr>
        <w:spacing w:after="0" w:line="151" w:lineRule="exact"/>
        <w:rPr>
          <w:sz w:val="20"/>
          <w:szCs w:val="20"/>
          <w:color w:val="auto"/>
        </w:rPr>
      </w:pPr>
    </w:p>
    <w:p>
      <w:pPr>
        <w:ind w:left="280" w:right="1559"/>
        <w:spacing w:after="0" w:line="244" w:lineRule="auto"/>
        <w:rPr>
          <w:sz w:val="20"/>
          <w:szCs w:val="20"/>
          <w:color w:val="auto"/>
        </w:rPr>
      </w:pPr>
      <w:r>
        <w:rPr>
          <w:rFonts w:ascii="Arial" w:cs="Arial" w:eastAsia="Arial" w:hAnsi="Arial"/>
          <w:sz w:val="16"/>
          <w:szCs w:val="16"/>
          <w:color w:val="auto"/>
        </w:rPr>
        <w:t>The Company shipped approximately 4,220,000 exterior auto-dimming mirror sub-assemblies during 2007, approximately 3,884,000 in 2008, and approximately 3,055,000 in 2009. During 2009, total exterior unit shipments by the Company decreased primarily due to lower light vehicle production levels globally.</w:t>
      </w:r>
    </w:p>
    <w:p>
      <w:pPr>
        <w:spacing w:after="0" w:line="144" w:lineRule="exact"/>
        <w:rPr>
          <w:sz w:val="20"/>
          <w:szCs w:val="20"/>
          <w:color w:val="auto"/>
        </w:rPr>
      </w:pPr>
    </w:p>
    <w:p>
      <w:pPr>
        <w:ind w:left="280" w:right="1699"/>
        <w:spacing w:after="0" w:line="251" w:lineRule="auto"/>
        <w:rPr>
          <w:sz w:val="20"/>
          <w:szCs w:val="20"/>
          <w:color w:val="auto"/>
        </w:rPr>
      </w:pPr>
      <w:r>
        <w:rPr>
          <w:rFonts w:ascii="Arial" w:cs="Arial" w:eastAsia="Arial" w:hAnsi="Arial"/>
          <w:sz w:val="16"/>
          <w:szCs w:val="16"/>
          <w:color w:val="auto"/>
        </w:rPr>
        <w:t>The Company is currently shipping exterior auto-dimming mirrors that are standard equipment or a factory-installed option on certain trim levels to the following manufacturers:</w:t>
      </w:r>
    </w:p>
    <w:p>
      <w:pPr>
        <w:spacing w:after="0" w:line="161"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1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BMW</w:t>
            </w:r>
          </w:p>
        </w:tc>
        <w:tc>
          <w:tcPr>
            <w:tcW w:w="1860" w:type="dxa"/>
            <w:vAlign w:val="bottom"/>
            <w:shd w:val="clear" w:color="auto" w:fill="CCEEFF"/>
          </w:tcPr>
          <w:p>
            <w:pPr>
              <w:ind w:left="500"/>
              <w:spacing w:after="0"/>
              <w:rPr>
                <w:sz w:val="20"/>
                <w:szCs w:val="20"/>
                <w:color w:val="auto"/>
              </w:rPr>
            </w:pPr>
            <w:r>
              <w:rPr>
                <w:rFonts w:ascii="Arial" w:cs="Arial" w:eastAsia="Arial" w:hAnsi="Arial"/>
                <w:sz w:val="16"/>
                <w:szCs w:val="16"/>
                <w:color w:val="auto"/>
              </w:rPr>
              <w:t>Ford</w:t>
            </w:r>
          </w:p>
        </w:tc>
        <w:tc>
          <w:tcPr>
            <w:tcW w:w="16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Honda</w:t>
            </w:r>
          </w:p>
        </w:tc>
        <w:tc>
          <w:tcPr>
            <w:tcW w:w="1600" w:type="dxa"/>
            <w:vAlign w:val="bottom"/>
            <w:shd w:val="clear" w:color="auto" w:fill="CCEEFF"/>
          </w:tcPr>
          <w:p>
            <w:pPr>
              <w:ind w:left="240"/>
              <w:spacing w:after="0"/>
              <w:rPr>
                <w:sz w:val="20"/>
                <w:szCs w:val="20"/>
                <w:color w:val="auto"/>
              </w:rPr>
            </w:pPr>
            <w:r>
              <w:rPr>
                <w:rFonts w:ascii="Arial" w:cs="Arial" w:eastAsia="Arial" w:hAnsi="Arial"/>
                <w:sz w:val="16"/>
                <w:szCs w:val="16"/>
                <w:color w:val="auto"/>
              </w:rPr>
              <w:t>Renault/Nissan</w:t>
            </w:r>
          </w:p>
        </w:tc>
        <w:tc>
          <w:tcPr>
            <w:tcW w:w="17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Volkswagen</w:t>
            </w:r>
          </w:p>
        </w:tc>
      </w:tr>
      <w:tr>
        <w:trPr>
          <w:trHeight w:val="182"/>
        </w:trPr>
        <w:tc>
          <w:tcPr>
            <w:tcW w:w="1620" w:type="dxa"/>
            <w:vAlign w:val="bottom"/>
          </w:tcPr>
          <w:p>
            <w:pPr>
              <w:ind w:left="200"/>
              <w:spacing w:after="0" w:line="182" w:lineRule="exact"/>
              <w:rPr>
                <w:sz w:val="20"/>
                <w:szCs w:val="20"/>
                <w:color w:val="auto"/>
              </w:rPr>
            </w:pPr>
            <w:r>
              <w:rPr>
                <w:rFonts w:ascii="Arial" w:cs="Arial" w:eastAsia="Arial" w:hAnsi="Arial"/>
                <w:sz w:val="16"/>
                <w:szCs w:val="16"/>
                <w:color w:val="auto"/>
              </w:rPr>
              <w:t>-BMW</w:t>
            </w:r>
          </w:p>
        </w:tc>
        <w:tc>
          <w:tcPr>
            <w:tcW w:w="1860" w:type="dxa"/>
            <w:vAlign w:val="bottom"/>
          </w:tcPr>
          <w:p>
            <w:pPr>
              <w:ind w:left="680"/>
              <w:spacing w:after="0" w:line="182" w:lineRule="exact"/>
              <w:rPr>
                <w:sz w:val="20"/>
                <w:szCs w:val="20"/>
                <w:color w:val="auto"/>
              </w:rPr>
            </w:pPr>
            <w:r>
              <w:rPr>
                <w:rFonts w:ascii="Arial" w:cs="Arial" w:eastAsia="Arial" w:hAnsi="Arial"/>
                <w:sz w:val="16"/>
                <w:szCs w:val="16"/>
                <w:color w:val="auto"/>
              </w:rPr>
              <w:t>-Lincoln</w:t>
            </w:r>
          </w:p>
        </w:tc>
        <w:tc>
          <w:tcPr>
            <w:tcW w:w="1620" w:type="dxa"/>
            <w:vAlign w:val="bottom"/>
          </w:tcPr>
          <w:p>
            <w:pPr>
              <w:ind w:left="440"/>
              <w:spacing w:after="0" w:line="182" w:lineRule="exact"/>
              <w:rPr>
                <w:sz w:val="20"/>
                <w:szCs w:val="20"/>
                <w:color w:val="auto"/>
              </w:rPr>
            </w:pPr>
            <w:r>
              <w:rPr>
                <w:rFonts w:ascii="Arial" w:cs="Arial" w:eastAsia="Arial" w:hAnsi="Arial"/>
                <w:sz w:val="16"/>
                <w:szCs w:val="16"/>
                <w:color w:val="auto"/>
              </w:rPr>
              <w:t>-Acura</w:t>
            </w:r>
          </w:p>
        </w:tc>
        <w:tc>
          <w:tcPr>
            <w:tcW w:w="1600" w:type="dxa"/>
            <w:vAlign w:val="bottom"/>
          </w:tcPr>
          <w:p>
            <w:pPr>
              <w:ind w:left="420"/>
              <w:spacing w:after="0" w:line="182" w:lineRule="exact"/>
              <w:rPr>
                <w:sz w:val="20"/>
                <w:szCs w:val="20"/>
                <w:color w:val="auto"/>
              </w:rPr>
            </w:pPr>
            <w:r>
              <w:rPr>
                <w:rFonts w:ascii="Arial" w:cs="Arial" w:eastAsia="Arial" w:hAnsi="Arial"/>
                <w:sz w:val="16"/>
                <w:szCs w:val="16"/>
                <w:color w:val="auto"/>
              </w:rPr>
              <w:t>-Infiniti</w:t>
            </w:r>
          </w:p>
        </w:tc>
        <w:tc>
          <w:tcPr>
            <w:tcW w:w="1700" w:type="dxa"/>
            <w:vAlign w:val="bottom"/>
          </w:tcPr>
          <w:p>
            <w:pPr>
              <w:ind w:left="440"/>
              <w:spacing w:after="0" w:line="182" w:lineRule="exact"/>
              <w:rPr>
                <w:sz w:val="20"/>
                <w:szCs w:val="20"/>
                <w:color w:val="auto"/>
              </w:rPr>
            </w:pPr>
            <w:r>
              <w:rPr>
                <w:rFonts w:ascii="Arial" w:cs="Arial" w:eastAsia="Arial" w:hAnsi="Arial"/>
                <w:sz w:val="16"/>
                <w:szCs w:val="16"/>
                <w:color w:val="auto"/>
              </w:rPr>
              <w:t>-Audi</w:t>
            </w:r>
          </w:p>
        </w:tc>
      </w:tr>
      <w:tr>
        <w:trPr>
          <w:trHeight w:val="182"/>
        </w:trPr>
        <w:tc>
          <w:tcPr>
            <w:tcW w:w="162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-Rolls Royce</w:t>
            </w:r>
          </w:p>
        </w:tc>
        <w:tc>
          <w:tcPr>
            <w:tcW w:w="1860" w:type="dxa"/>
            <w:vAlign w:val="bottom"/>
            <w:shd w:val="clear" w:color="auto" w:fill="CCEEFF"/>
          </w:tcPr>
          <w:p>
            <w:pPr>
              <w:ind w:left="500"/>
              <w:spacing w:after="0" w:line="182" w:lineRule="exact"/>
              <w:rPr>
                <w:sz w:val="20"/>
                <w:szCs w:val="20"/>
                <w:color w:val="auto"/>
              </w:rPr>
            </w:pPr>
            <w:r>
              <w:rPr>
                <w:rFonts w:ascii="Arial" w:cs="Arial" w:eastAsia="Arial" w:hAnsi="Arial"/>
                <w:sz w:val="16"/>
                <w:szCs w:val="16"/>
                <w:color w:val="auto"/>
              </w:rPr>
              <w:t>General Motors</w:t>
            </w:r>
          </w:p>
        </w:tc>
        <w:tc>
          <w:tcPr>
            <w:tcW w:w="1620" w:type="dxa"/>
            <w:vAlign w:val="bottom"/>
            <w:shd w:val="clear" w:color="auto" w:fill="CCEEFF"/>
          </w:tcPr>
          <w:p>
            <w:pPr>
              <w:ind w:left="440"/>
              <w:spacing w:after="0" w:line="182" w:lineRule="exact"/>
              <w:rPr>
                <w:sz w:val="20"/>
                <w:szCs w:val="20"/>
                <w:color w:val="auto"/>
              </w:rPr>
            </w:pPr>
            <w:r>
              <w:rPr>
                <w:rFonts w:ascii="Arial" w:cs="Arial" w:eastAsia="Arial" w:hAnsi="Arial"/>
                <w:sz w:val="16"/>
                <w:szCs w:val="16"/>
                <w:color w:val="auto"/>
              </w:rPr>
              <w:t>-Honda</w:t>
            </w:r>
          </w:p>
        </w:tc>
        <w:tc>
          <w:tcPr>
            <w:tcW w:w="1600" w:type="dxa"/>
            <w:vAlign w:val="bottom"/>
            <w:shd w:val="clear" w:color="auto" w:fill="CCEEFF"/>
          </w:tcPr>
          <w:p>
            <w:pPr>
              <w:ind w:left="420"/>
              <w:spacing w:after="0" w:line="182" w:lineRule="exact"/>
              <w:rPr>
                <w:sz w:val="20"/>
                <w:szCs w:val="20"/>
                <w:color w:val="auto"/>
              </w:rPr>
            </w:pPr>
            <w:r>
              <w:rPr>
                <w:rFonts w:ascii="Arial" w:cs="Arial" w:eastAsia="Arial" w:hAnsi="Arial"/>
                <w:sz w:val="16"/>
                <w:szCs w:val="16"/>
                <w:color w:val="auto"/>
              </w:rPr>
              <w:t>-Nissan</w:t>
            </w:r>
          </w:p>
        </w:tc>
        <w:tc>
          <w:tcPr>
            <w:tcW w:w="1700" w:type="dxa"/>
            <w:vAlign w:val="bottom"/>
            <w:shd w:val="clear" w:color="auto" w:fill="CCEEFF"/>
          </w:tcPr>
          <w:p>
            <w:pPr>
              <w:ind w:left="440"/>
              <w:spacing w:after="0" w:line="182" w:lineRule="exact"/>
              <w:rPr>
                <w:sz w:val="20"/>
                <w:szCs w:val="20"/>
                <w:color w:val="auto"/>
              </w:rPr>
            </w:pPr>
            <w:r>
              <w:rPr>
                <w:rFonts w:ascii="Arial" w:cs="Arial" w:eastAsia="Arial" w:hAnsi="Arial"/>
                <w:sz w:val="16"/>
                <w:szCs w:val="16"/>
                <w:color w:val="auto"/>
              </w:rPr>
              <w:t>-Bentley</w:t>
            </w:r>
          </w:p>
        </w:tc>
      </w:tr>
      <w:tr>
        <w:trPr>
          <w:trHeight w:val="182"/>
        </w:trPr>
        <w:tc>
          <w:tcPr>
            <w:tcW w:w="1620" w:type="dxa"/>
            <w:vAlign w:val="bottom"/>
          </w:tcPr>
          <w:p>
            <w:pPr>
              <w:ind w:left="20"/>
              <w:spacing w:after="0" w:line="182" w:lineRule="exact"/>
              <w:rPr>
                <w:sz w:val="20"/>
                <w:szCs w:val="20"/>
                <w:color w:val="auto"/>
              </w:rPr>
            </w:pPr>
            <w:r>
              <w:rPr>
                <w:rFonts w:ascii="Arial" w:cs="Arial" w:eastAsia="Arial" w:hAnsi="Arial"/>
                <w:sz w:val="16"/>
                <w:szCs w:val="16"/>
                <w:color w:val="auto"/>
              </w:rPr>
              <w:t>Chrysler</w:t>
            </w:r>
          </w:p>
        </w:tc>
        <w:tc>
          <w:tcPr>
            <w:tcW w:w="1860" w:type="dxa"/>
            <w:vAlign w:val="bottom"/>
          </w:tcPr>
          <w:p>
            <w:pPr>
              <w:ind w:left="680"/>
              <w:spacing w:after="0" w:line="182" w:lineRule="exact"/>
              <w:rPr>
                <w:sz w:val="20"/>
                <w:szCs w:val="20"/>
                <w:color w:val="auto"/>
              </w:rPr>
            </w:pPr>
            <w:r>
              <w:rPr>
                <w:rFonts w:ascii="Arial" w:cs="Arial" w:eastAsia="Arial" w:hAnsi="Arial"/>
                <w:sz w:val="16"/>
                <w:szCs w:val="16"/>
                <w:color w:val="auto"/>
              </w:rPr>
              <w:t>-Buick</w:t>
            </w:r>
          </w:p>
        </w:tc>
        <w:tc>
          <w:tcPr>
            <w:tcW w:w="1620" w:type="dxa"/>
            <w:vAlign w:val="bottom"/>
          </w:tcPr>
          <w:p>
            <w:pPr>
              <w:ind w:left="240"/>
              <w:spacing w:after="0" w:line="182" w:lineRule="exact"/>
              <w:rPr>
                <w:sz w:val="20"/>
                <w:szCs w:val="20"/>
                <w:color w:val="auto"/>
              </w:rPr>
            </w:pPr>
            <w:r>
              <w:rPr>
                <w:rFonts w:ascii="Arial" w:cs="Arial" w:eastAsia="Arial" w:hAnsi="Arial"/>
                <w:sz w:val="16"/>
                <w:szCs w:val="16"/>
                <w:color w:val="auto"/>
              </w:rPr>
              <w:t>Hyundai</w:t>
            </w:r>
          </w:p>
        </w:tc>
        <w:tc>
          <w:tcPr>
            <w:tcW w:w="1600" w:type="dxa"/>
            <w:vAlign w:val="bottom"/>
          </w:tcPr>
          <w:p>
            <w:pPr>
              <w:ind w:left="240"/>
              <w:spacing w:after="0" w:line="182" w:lineRule="exact"/>
              <w:rPr>
                <w:sz w:val="20"/>
                <w:szCs w:val="20"/>
                <w:color w:val="auto"/>
              </w:rPr>
            </w:pPr>
            <w:r>
              <w:rPr>
                <w:rFonts w:ascii="Arial" w:cs="Arial" w:eastAsia="Arial" w:hAnsi="Arial"/>
                <w:sz w:val="16"/>
                <w:szCs w:val="16"/>
                <w:color w:val="auto"/>
              </w:rPr>
              <w:t>SAIC</w:t>
            </w:r>
          </w:p>
        </w:tc>
        <w:tc>
          <w:tcPr>
            <w:tcW w:w="1700" w:type="dxa"/>
            <w:vAlign w:val="bottom"/>
          </w:tcPr>
          <w:p>
            <w:pPr>
              <w:ind w:left="440"/>
              <w:spacing w:after="0" w:line="182" w:lineRule="exact"/>
              <w:rPr>
                <w:sz w:val="20"/>
                <w:szCs w:val="20"/>
                <w:color w:val="auto"/>
              </w:rPr>
            </w:pPr>
            <w:r>
              <w:rPr>
                <w:rFonts w:ascii="Arial" w:cs="Arial" w:eastAsia="Arial" w:hAnsi="Arial"/>
                <w:sz w:val="16"/>
                <w:szCs w:val="16"/>
                <w:color w:val="auto"/>
              </w:rPr>
              <w:t>-Skoda</w:t>
            </w:r>
          </w:p>
        </w:tc>
      </w:tr>
      <w:tr>
        <w:trPr>
          <w:trHeight w:val="182"/>
        </w:trPr>
        <w:tc>
          <w:tcPr>
            <w:tcW w:w="162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-Chrysler</w:t>
            </w:r>
          </w:p>
        </w:tc>
        <w:tc>
          <w:tcPr>
            <w:tcW w:w="1860" w:type="dxa"/>
            <w:vAlign w:val="bottom"/>
            <w:shd w:val="clear" w:color="auto" w:fill="CCEEFF"/>
          </w:tcPr>
          <w:p>
            <w:pPr>
              <w:ind w:left="680"/>
              <w:spacing w:after="0" w:line="182" w:lineRule="exact"/>
              <w:rPr>
                <w:sz w:val="20"/>
                <w:szCs w:val="20"/>
                <w:color w:val="auto"/>
              </w:rPr>
            </w:pPr>
            <w:r>
              <w:rPr>
                <w:rFonts w:ascii="Arial" w:cs="Arial" w:eastAsia="Arial" w:hAnsi="Arial"/>
                <w:sz w:val="16"/>
                <w:szCs w:val="16"/>
                <w:color w:val="auto"/>
              </w:rPr>
              <w:t>-Cadillac</w:t>
            </w:r>
          </w:p>
        </w:tc>
        <w:tc>
          <w:tcPr>
            <w:tcW w:w="1620" w:type="dxa"/>
            <w:vAlign w:val="bottom"/>
            <w:shd w:val="clear" w:color="auto" w:fill="CCEEFF"/>
          </w:tcPr>
          <w:p>
            <w:pPr>
              <w:ind w:left="440"/>
              <w:spacing w:after="0" w:line="182" w:lineRule="exact"/>
              <w:rPr>
                <w:sz w:val="20"/>
                <w:szCs w:val="20"/>
                <w:color w:val="auto"/>
              </w:rPr>
            </w:pPr>
            <w:r>
              <w:rPr>
                <w:rFonts w:ascii="Arial" w:cs="Arial" w:eastAsia="Arial" w:hAnsi="Arial"/>
                <w:sz w:val="16"/>
                <w:szCs w:val="16"/>
                <w:color w:val="auto"/>
              </w:rPr>
              <w:t>-Hyundai</w:t>
            </w:r>
          </w:p>
        </w:tc>
        <w:tc>
          <w:tcPr>
            <w:tcW w:w="1600" w:type="dxa"/>
            <w:vAlign w:val="bottom"/>
            <w:shd w:val="clear" w:color="auto" w:fill="CCEEFF"/>
          </w:tcPr>
          <w:p>
            <w:pPr>
              <w:ind w:left="420"/>
              <w:spacing w:after="0" w:line="182" w:lineRule="exact"/>
              <w:rPr>
                <w:sz w:val="20"/>
                <w:szCs w:val="20"/>
                <w:color w:val="auto"/>
              </w:rPr>
            </w:pPr>
            <w:r>
              <w:rPr>
                <w:rFonts w:ascii="Arial" w:cs="Arial" w:eastAsia="Arial" w:hAnsi="Arial"/>
                <w:sz w:val="16"/>
                <w:szCs w:val="16"/>
                <w:color w:val="auto"/>
              </w:rPr>
              <w:t>-Ssangyong</w:t>
            </w:r>
          </w:p>
        </w:tc>
        <w:tc>
          <w:tcPr>
            <w:tcW w:w="1700" w:type="dxa"/>
            <w:vAlign w:val="bottom"/>
            <w:shd w:val="clear" w:color="auto" w:fill="CCEEFF"/>
          </w:tcPr>
          <w:p>
            <w:pPr>
              <w:ind w:left="440"/>
              <w:spacing w:after="0" w:line="182" w:lineRule="exact"/>
              <w:rPr>
                <w:sz w:val="20"/>
                <w:szCs w:val="20"/>
                <w:color w:val="auto"/>
              </w:rPr>
            </w:pPr>
            <w:r>
              <w:rPr>
                <w:rFonts w:ascii="Arial" w:cs="Arial" w:eastAsia="Arial" w:hAnsi="Arial"/>
                <w:sz w:val="16"/>
                <w:szCs w:val="16"/>
                <w:color w:val="auto"/>
              </w:rPr>
              <w:t>-Volkswagen</w:t>
            </w:r>
          </w:p>
        </w:tc>
      </w:tr>
      <w:tr>
        <w:trPr>
          <w:trHeight w:val="182"/>
        </w:trPr>
        <w:tc>
          <w:tcPr>
            <w:tcW w:w="1620" w:type="dxa"/>
            <w:vAlign w:val="bottom"/>
          </w:tcPr>
          <w:p>
            <w:pPr>
              <w:ind w:left="200"/>
              <w:spacing w:after="0" w:line="182" w:lineRule="exact"/>
              <w:rPr>
                <w:sz w:val="20"/>
                <w:szCs w:val="20"/>
                <w:color w:val="auto"/>
              </w:rPr>
            </w:pPr>
            <w:r>
              <w:rPr>
                <w:rFonts w:ascii="Arial" w:cs="Arial" w:eastAsia="Arial" w:hAnsi="Arial"/>
                <w:sz w:val="16"/>
                <w:szCs w:val="16"/>
                <w:color w:val="auto"/>
              </w:rPr>
              <w:t>-Dodge</w:t>
            </w:r>
          </w:p>
        </w:tc>
        <w:tc>
          <w:tcPr>
            <w:tcW w:w="1860" w:type="dxa"/>
            <w:vAlign w:val="bottom"/>
          </w:tcPr>
          <w:p>
            <w:pPr>
              <w:ind w:left="680"/>
              <w:spacing w:after="0" w:line="182" w:lineRule="exact"/>
              <w:rPr>
                <w:sz w:val="20"/>
                <w:szCs w:val="20"/>
                <w:color w:val="auto"/>
              </w:rPr>
            </w:pPr>
            <w:r>
              <w:rPr>
                <w:rFonts w:ascii="Arial" w:cs="Arial" w:eastAsia="Arial" w:hAnsi="Arial"/>
                <w:sz w:val="16"/>
                <w:szCs w:val="16"/>
                <w:color w:val="auto"/>
              </w:rPr>
              <w:t>-Chevrolet</w:t>
            </w:r>
          </w:p>
        </w:tc>
        <w:tc>
          <w:tcPr>
            <w:tcW w:w="1620" w:type="dxa"/>
            <w:vAlign w:val="bottom"/>
          </w:tcPr>
          <w:p>
            <w:pPr>
              <w:ind w:left="440"/>
              <w:spacing w:after="0" w:line="182" w:lineRule="exact"/>
              <w:rPr>
                <w:sz w:val="20"/>
                <w:szCs w:val="20"/>
                <w:color w:val="auto"/>
              </w:rPr>
            </w:pPr>
            <w:r>
              <w:rPr>
                <w:rFonts w:ascii="Arial" w:cs="Arial" w:eastAsia="Arial" w:hAnsi="Arial"/>
                <w:sz w:val="16"/>
                <w:szCs w:val="16"/>
                <w:color w:val="auto"/>
              </w:rPr>
              <w:t>-Kia</w:t>
            </w:r>
          </w:p>
        </w:tc>
        <w:tc>
          <w:tcPr>
            <w:tcW w:w="1600" w:type="dxa"/>
            <w:vAlign w:val="bottom"/>
          </w:tcPr>
          <w:p>
            <w:pPr>
              <w:ind w:left="240"/>
              <w:spacing w:after="0" w:line="182" w:lineRule="exact"/>
              <w:rPr>
                <w:sz w:val="20"/>
                <w:szCs w:val="20"/>
                <w:color w:val="auto"/>
              </w:rPr>
            </w:pPr>
            <w:r>
              <w:rPr>
                <w:rFonts w:ascii="Arial" w:cs="Arial" w:eastAsia="Arial" w:hAnsi="Arial"/>
                <w:sz w:val="16"/>
                <w:szCs w:val="16"/>
                <w:color w:val="auto"/>
              </w:rPr>
              <w:t>Tata</w:t>
            </w:r>
          </w:p>
        </w:tc>
        <w:tc>
          <w:tcPr>
            <w:tcW w:w="1700" w:type="dxa"/>
            <w:vAlign w:val="bottom"/>
          </w:tcPr>
          <w:p>
            <w:pPr>
              <w:spacing w:after="0"/>
              <w:rPr>
                <w:sz w:val="15"/>
                <w:szCs w:val="15"/>
                <w:color w:val="auto"/>
              </w:rPr>
            </w:pPr>
          </w:p>
        </w:tc>
      </w:tr>
      <w:tr>
        <w:trPr>
          <w:trHeight w:val="182"/>
        </w:trPr>
        <w:tc>
          <w:tcPr>
            <w:tcW w:w="162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-Jeep</w:t>
            </w:r>
          </w:p>
        </w:tc>
        <w:tc>
          <w:tcPr>
            <w:tcW w:w="1860" w:type="dxa"/>
            <w:vAlign w:val="bottom"/>
            <w:shd w:val="clear" w:color="auto" w:fill="CCEEFF"/>
          </w:tcPr>
          <w:p>
            <w:pPr>
              <w:ind w:left="680"/>
              <w:spacing w:after="0" w:line="182" w:lineRule="exact"/>
              <w:rPr>
                <w:sz w:val="20"/>
                <w:szCs w:val="20"/>
                <w:color w:val="auto"/>
              </w:rPr>
            </w:pPr>
            <w:r>
              <w:rPr>
                <w:rFonts w:ascii="Arial" w:cs="Arial" w:eastAsia="Arial" w:hAnsi="Arial"/>
                <w:sz w:val="16"/>
                <w:szCs w:val="16"/>
                <w:color w:val="auto"/>
              </w:rPr>
              <w:t>-Daewoo</w:t>
            </w:r>
          </w:p>
        </w:tc>
        <w:tc>
          <w:tcPr>
            <w:tcW w:w="1620" w:type="dxa"/>
            <w:vAlign w:val="bottom"/>
            <w:shd w:val="clear" w:color="auto" w:fill="CCEEFF"/>
          </w:tcPr>
          <w:p>
            <w:pPr>
              <w:ind w:left="240"/>
              <w:spacing w:after="0" w:line="182" w:lineRule="exact"/>
              <w:rPr>
                <w:sz w:val="20"/>
                <w:szCs w:val="20"/>
                <w:color w:val="auto"/>
              </w:rPr>
            </w:pPr>
            <w:r>
              <w:rPr>
                <w:rFonts w:ascii="Arial" w:cs="Arial" w:eastAsia="Arial" w:hAnsi="Arial"/>
                <w:sz w:val="16"/>
                <w:szCs w:val="16"/>
                <w:color w:val="auto"/>
              </w:rPr>
              <w:t>Mercedes-Benz</w:t>
            </w:r>
          </w:p>
        </w:tc>
        <w:tc>
          <w:tcPr>
            <w:tcW w:w="1600" w:type="dxa"/>
            <w:vAlign w:val="bottom"/>
            <w:shd w:val="clear" w:color="auto" w:fill="CCEEFF"/>
          </w:tcPr>
          <w:p>
            <w:pPr>
              <w:ind w:left="420"/>
              <w:spacing w:after="0" w:line="182" w:lineRule="exact"/>
              <w:rPr>
                <w:sz w:val="20"/>
                <w:szCs w:val="20"/>
                <w:color w:val="auto"/>
              </w:rPr>
            </w:pPr>
            <w:r>
              <w:rPr>
                <w:rFonts w:ascii="Arial" w:cs="Arial" w:eastAsia="Arial" w:hAnsi="Arial"/>
                <w:sz w:val="16"/>
                <w:szCs w:val="16"/>
                <w:color w:val="auto"/>
              </w:rPr>
              <w:t>-Jaguar</w:t>
            </w:r>
          </w:p>
        </w:tc>
        <w:tc>
          <w:tcPr>
            <w:tcW w:w="1700" w:type="dxa"/>
            <w:vAlign w:val="bottom"/>
            <w:shd w:val="clear" w:color="auto" w:fill="CCEEFF"/>
          </w:tcPr>
          <w:p>
            <w:pPr>
              <w:spacing w:after="0"/>
              <w:rPr>
                <w:sz w:val="15"/>
                <w:szCs w:val="15"/>
                <w:color w:val="auto"/>
              </w:rPr>
            </w:pPr>
          </w:p>
        </w:tc>
      </w:tr>
      <w:tr>
        <w:trPr>
          <w:trHeight w:val="182"/>
        </w:trPr>
        <w:tc>
          <w:tcPr>
            <w:tcW w:w="1620" w:type="dxa"/>
            <w:vAlign w:val="bottom"/>
          </w:tcPr>
          <w:p>
            <w:pPr>
              <w:ind w:left="20"/>
              <w:spacing w:after="0" w:line="182" w:lineRule="exact"/>
              <w:rPr>
                <w:sz w:val="20"/>
                <w:szCs w:val="20"/>
                <w:color w:val="auto"/>
              </w:rPr>
            </w:pPr>
            <w:r>
              <w:rPr>
                <w:rFonts w:ascii="Arial" w:cs="Arial" w:eastAsia="Arial" w:hAnsi="Arial"/>
                <w:sz w:val="16"/>
                <w:szCs w:val="16"/>
                <w:color w:val="auto"/>
              </w:rPr>
              <w:t>Fiat</w:t>
            </w:r>
          </w:p>
        </w:tc>
        <w:tc>
          <w:tcPr>
            <w:tcW w:w="1860" w:type="dxa"/>
            <w:vAlign w:val="bottom"/>
          </w:tcPr>
          <w:p>
            <w:pPr>
              <w:ind w:left="680"/>
              <w:spacing w:after="0" w:line="182" w:lineRule="exact"/>
              <w:rPr>
                <w:sz w:val="20"/>
                <w:szCs w:val="20"/>
                <w:color w:val="auto"/>
              </w:rPr>
            </w:pPr>
            <w:r>
              <w:rPr>
                <w:rFonts w:ascii="Arial" w:cs="Arial" w:eastAsia="Arial" w:hAnsi="Arial"/>
                <w:sz w:val="16"/>
                <w:szCs w:val="16"/>
                <w:color w:val="auto"/>
              </w:rPr>
              <w:t>-GMC</w:t>
            </w:r>
          </w:p>
        </w:tc>
        <w:tc>
          <w:tcPr>
            <w:tcW w:w="1620" w:type="dxa"/>
            <w:vAlign w:val="bottom"/>
          </w:tcPr>
          <w:p>
            <w:pPr>
              <w:ind w:left="240"/>
              <w:spacing w:after="0" w:line="182" w:lineRule="exact"/>
              <w:rPr>
                <w:sz w:val="20"/>
                <w:szCs w:val="20"/>
                <w:color w:val="auto"/>
              </w:rPr>
            </w:pPr>
            <w:r>
              <w:rPr>
                <w:rFonts w:ascii="Arial" w:cs="Arial" w:eastAsia="Arial" w:hAnsi="Arial"/>
                <w:sz w:val="16"/>
                <w:szCs w:val="16"/>
                <w:color w:val="auto"/>
              </w:rPr>
              <w:t>Mitsubishi</w:t>
            </w:r>
          </w:p>
        </w:tc>
        <w:tc>
          <w:tcPr>
            <w:tcW w:w="1600" w:type="dxa"/>
            <w:vAlign w:val="bottom"/>
          </w:tcPr>
          <w:p>
            <w:pPr>
              <w:ind w:left="420"/>
              <w:spacing w:after="0" w:line="182" w:lineRule="exact"/>
              <w:rPr>
                <w:sz w:val="20"/>
                <w:szCs w:val="20"/>
                <w:color w:val="auto"/>
              </w:rPr>
            </w:pPr>
            <w:r>
              <w:rPr>
                <w:rFonts w:ascii="Arial" w:cs="Arial" w:eastAsia="Arial" w:hAnsi="Arial"/>
                <w:sz w:val="16"/>
                <w:szCs w:val="16"/>
                <w:color w:val="auto"/>
              </w:rPr>
              <w:t>-Land Rover</w:t>
            </w:r>
          </w:p>
        </w:tc>
        <w:tc>
          <w:tcPr>
            <w:tcW w:w="1700" w:type="dxa"/>
            <w:vAlign w:val="bottom"/>
          </w:tcPr>
          <w:p>
            <w:pPr>
              <w:spacing w:after="0"/>
              <w:rPr>
                <w:sz w:val="15"/>
                <w:szCs w:val="15"/>
                <w:color w:val="auto"/>
              </w:rPr>
            </w:pPr>
          </w:p>
        </w:tc>
      </w:tr>
      <w:tr>
        <w:trPr>
          <w:trHeight w:val="182"/>
        </w:trPr>
        <w:tc>
          <w:tcPr>
            <w:tcW w:w="162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-Lancia</w:t>
            </w:r>
          </w:p>
        </w:tc>
        <w:tc>
          <w:tcPr>
            <w:tcW w:w="1860" w:type="dxa"/>
            <w:vAlign w:val="bottom"/>
            <w:shd w:val="clear" w:color="auto" w:fill="CCEEFF"/>
          </w:tcPr>
          <w:p>
            <w:pPr>
              <w:ind w:left="680"/>
              <w:spacing w:after="0" w:line="182" w:lineRule="exact"/>
              <w:rPr>
                <w:sz w:val="20"/>
                <w:szCs w:val="20"/>
                <w:color w:val="auto"/>
              </w:rPr>
            </w:pPr>
            <w:r>
              <w:rPr>
                <w:rFonts w:ascii="Arial" w:cs="Arial" w:eastAsia="Arial" w:hAnsi="Arial"/>
                <w:sz w:val="16"/>
                <w:szCs w:val="16"/>
                <w:color w:val="auto"/>
              </w:rPr>
              <w:t>-Hummer</w:t>
            </w:r>
          </w:p>
        </w:tc>
        <w:tc>
          <w:tcPr>
            <w:tcW w:w="1620" w:type="dxa"/>
            <w:vAlign w:val="bottom"/>
            <w:shd w:val="clear" w:color="auto" w:fill="CCEEFF"/>
          </w:tcPr>
          <w:p>
            <w:pPr>
              <w:ind w:left="240"/>
              <w:spacing w:after="0" w:line="182" w:lineRule="exact"/>
              <w:rPr>
                <w:sz w:val="20"/>
                <w:szCs w:val="20"/>
                <w:color w:val="auto"/>
              </w:rPr>
            </w:pPr>
            <w:r>
              <w:rPr>
                <w:rFonts w:ascii="Arial" w:cs="Arial" w:eastAsia="Arial" w:hAnsi="Arial"/>
                <w:sz w:val="16"/>
                <w:szCs w:val="16"/>
                <w:color w:val="auto"/>
              </w:rPr>
              <w:t>PSA</w:t>
            </w:r>
          </w:p>
        </w:tc>
        <w:tc>
          <w:tcPr>
            <w:tcW w:w="1600" w:type="dxa"/>
            <w:vAlign w:val="bottom"/>
            <w:shd w:val="clear" w:color="auto" w:fill="CCEEFF"/>
          </w:tcPr>
          <w:p>
            <w:pPr>
              <w:ind w:left="240"/>
              <w:spacing w:after="0" w:line="182" w:lineRule="exact"/>
              <w:rPr>
                <w:sz w:val="20"/>
                <w:szCs w:val="20"/>
                <w:color w:val="auto"/>
              </w:rPr>
            </w:pPr>
            <w:r>
              <w:rPr>
                <w:rFonts w:ascii="Arial" w:cs="Arial" w:eastAsia="Arial" w:hAnsi="Arial"/>
                <w:sz w:val="16"/>
                <w:szCs w:val="16"/>
                <w:color w:val="auto"/>
              </w:rPr>
              <w:t>Toyota</w:t>
            </w:r>
          </w:p>
        </w:tc>
        <w:tc>
          <w:tcPr>
            <w:tcW w:w="1700" w:type="dxa"/>
            <w:vAlign w:val="bottom"/>
            <w:shd w:val="clear" w:color="auto" w:fill="CCEEFF"/>
          </w:tcPr>
          <w:p>
            <w:pPr>
              <w:spacing w:after="0"/>
              <w:rPr>
                <w:sz w:val="15"/>
                <w:szCs w:val="15"/>
                <w:color w:val="auto"/>
              </w:rPr>
            </w:pPr>
          </w:p>
        </w:tc>
      </w:tr>
      <w:tr>
        <w:trPr>
          <w:trHeight w:val="182"/>
        </w:trPr>
        <w:tc>
          <w:tcPr>
            <w:tcW w:w="1620" w:type="dxa"/>
            <w:vAlign w:val="bottom"/>
          </w:tcPr>
          <w:p>
            <w:pPr>
              <w:ind w:left="200"/>
              <w:spacing w:after="0" w:line="182" w:lineRule="exact"/>
              <w:rPr>
                <w:sz w:val="20"/>
                <w:szCs w:val="20"/>
                <w:color w:val="auto"/>
              </w:rPr>
            </w:pPr>
            <w:r>
              <w:rPr>
                <w:rFonts w:ascii="Arial" w:cs="Arial" w:eastAsia="Arial" w:hAnsi="Arial"/>
                <w:sz w:val="16"/>
                <w:szCs w:val="16"/>
                <w:color w:val="auto"/>
              </w:rPr>
              <w:t>-Maserati</w:t>
            </w:r>
          </w:p>
        </w:tc>
        <w:tc>
          <w:tcPr>
            <w:tcW w:w="1860" w:type="dxa"/>
            <w:vAlign w:val="bottom"/>
          </w:tcPr>
          <w:p>
            <w:pPr>
              <w:ind w:left="680"/>
              <w:spacing w:after="0" w:line="182" w:lineRule="exact"/>
              <w:rPr>
                <w:sz w:val="20"/>
                <w:szCs w:val="20"/>
                <w:color w:val="auto"/>
              </w:rPr>
            </w:pPr>
            <w:r>
              <w:rPr>
                <w:rFonts w:ascii="Arial" w:cs="Arial" w:eastAsia="Arial" w:hAnsi="Arial"/>
                <w:sz w:val="16"/>
                <w:szCs w:val="16"/>
                <w:color w:val="auto"/>
              </w:rPr>
              <w:t>-Opel</w:t>
            </w:r>
          </w:p>
        </w:tc>
        <w:tc>
          <w:tcPr>
            <w:tcW w:w="1620" w:type="dxa"/>
            <w:vAlign w:val="bottom"/>
          </w:tcPr>
          <w:p>
            <w:pPr>
              <w:ind w:left="440"/>
              <w:spacing w:after="0" w:line="182" w:lineRule="exact"/>
              <w:rPr>
                <w:sz w:val="20"/>
                <w:szCs w:val="20"/>
                <w:color w:val="auto"/>
              </w:rPr>
            </w:pPr>
            <w:r>
              <w:rPr>
                <w:rFonts w:ascii="Arial" w:cs="Arial" w:eastAsia="Arial" w:hAnsi="Arial"/>
                <w:sz w:val="16"/>
                <w:szCs w:val="16"/>
                <w:color w:val="auto"/>
              </w:rPr>
              <w:t>-Citroen</w:t>
            </w:r>
          </w:p>
        </w:tc>
        <w:tc>
          <w:tcPr>
            <w:tcW w:w="1600" w:type="dxa"/>
            <w:vAlign w:val="bottom"/>
          </w:tcPr>
          <w:p>
            <w:pPr>
              <w:ind w:left="420"/>
              <w:spacing w:after="0" w:line="182" w:lineRule="exact"/>
              <w:rPr>
                <w:sz w:val="20"/>
                <w:szCs w:val="20"/>
                <w:color w:val="auto"/>
              </w:rPr>
            </w:pPr>
            <w:r>
              <w:rPr>
                <w:rFonts w:ascii="Arial" w:cs="Arial" w:eastAsia="Arial" w:hAnsi="Arial"/>
                <w:sz w:val="16"/>
                <w:szCs w:val="16"/>
                <w:color w:val="auto"/>
              </w:rPr>
              <w:t>-Lexus</w:t>
            </w:r>
          </w:p>
        </w:tc>
        <w:tc>
          <w:tcPr>
            <w:tcW w:w="1700" w:type="dxa"/>
            <w:vAlign w:val="bottom"/>
          </w:tcPr>
          <w:p>
            <w:pPr>
              <w:spacing w:after="0"/>
              <w:rPr>
                <w:sz w:val="15"/>
                <w:szCs w:val="15"/>
                <w:color w:val="auto"/>
              </w:rPr>
            </w:pPr>
          </w:p>
        </w:tc>
      </w:tr>
      <w:tr>
        <w:trPr>
          <w:trHeight w:val="182"/>
        </w:trPr>
        <w:tc>
          <w:tcPr>
            <w:tcW w:w="1620" w:type="dxa"/>
            <w:vAlign w:val="bottom"/>
            <w:shd w:val="clear" w:color="auto" w:fill="CCEEFF"/>
          </w:tcPr>
          <w:p>
            <w:pPr>
              <w:spacing w:after="0"/>
              <w:rPr>
                <w:sz w:val="15"/>
                <w:szCs w:val="15"/>
                <w:color w:val="auto"/>
              </w:rPr>
            </w:pPr>
          </w:p>
        </w:tc>
        <w:tc>
          <w:tcPr>
            <w:tcW w:w="1860" w:type="dxa"/>
            <w:vAlign w:val="bottom"/>
            <w:shd w:val="clear" w:color="auto" w:fill="CCEEFF"/>
          </w:tcPr>
          <w:p>
            <w:pPr>
              <w:ind w:left="680"/>
              <w:spacing w:after="0" w:line="182" w:lineRule="exact"/>
              <w:rPr>
                <w:sz w:val="20"/>
                <w:szCs w:val="20"/>
                <w:color w:val="auto"/>
              </w:rPr>
            </w:pPr>
            <w:r>
              <w:rPr>
                <w:rFonts w:ascii="Arial" w:cs="Arial" w:eastAsia="Arial" w:hAnsi="Arial"/>
                <w:sz w:val="16"/>
                <w:szCs w:val="16"/>
                <w:color w:val="auto"/>
              </w:rPr>
              <w:t>-Saturn</w:t>
            </w:r>
          </w:p>
        </w:tc>
        <w:tc>
          <w:tcPr>
            <w:tcW w:w="1620" w:type="dxa"/>
            <w:vAlign w:val="bottom"/>
            <w:shd w:val="clear" w:color="auto" w:fill="CCEEFF"/>
          </w:tcPr>
          <w:p>
            <w:pPr>
              <w:spacing w:after="0"/>
              <w:rPr>
                <w:sz w:val="15"/>
                <w:szCs w:val="15"/>
                <w:color w:val="auto"/>
              </w:rPr>
            </w:pPr>
          </w:p>
        </w:tc>
        <w:tc>
          <w:tcPr>
            <w:tcW w:w="1600" w:type="dxa"/>
            <w:vAlign w:val="bottom"/>
            <w:shd w:val="clear" w:color="auto" w:fill="CCEEFF"/>
          </w:tcPr>
          <w:p>
            <w:pPr>
              <w:ind w:left="420"/>
              <w:spacing w:after="0" w:line="182" w:lineRule="exact"/>
              <w:rPr>
                <w:sz w:val="20"/>
                <w:szCs w:val="20"/>
                <w:color w:val="auto"/>
              </w:rPr>
            </w:pPr>
            <w:r>
              <w:rPr>
                <w:rFonts w:ascii="Arial" w:cs="Arial" w:eastAsia="Arial" w:hAnsi="Arial"/>
                <w:sz w:val="16"/>
                <w:szCs w:val="16"/>
                <w:color w:val="auto"/>
              </w:rPr>
              <w:t>-Toyota</w:t>
            </w:r>
          </w:p>
        </w:tc>
        <w:tc>
          <w:tcPr>
            <w:tcW w:w="1700" w:type="dxa"/>
            <w:vAlign w:val="bottom"/>
            <w:shd w:val="clear" w:color="auto" w:fill="CCEEFF"/>
          </w:tcPr>
          <w:p>
            <w:pPr>
              <w:spacing w:after="0"/>
              <w:rPr>
                <w:sz w:val="15"/>
                <w:szCs w:val="15"/>
                <w:color w:val="auto"/>
              </w:rPr>
            </w:pPr>
          </w:p>
        </w:tc>
      </w:tr>
    </w:tbl>
    <w:p>
      <w:pPr>
        <w:spacing w:after="0" w:line="169" w:lineRule="exact"/>
        <w:rPr>
          <w:sz w:val="20"/>
          <w:szCs w:val="20"/>
          <w:color w:val="auto"/>
        </w:rPr>
      </w:pPr>
    </w:p>
    <w:p>
      <w:pPr>
        <w:ind w:left="280" w:right="3719"/>
        <w:spacing w:after="0" w:line="251" w:lineRule="auto"/>
        <w:rPr>
          <w:sz w:val="20"/>
          <w:szCs w:val="20"/>
          <w:color w:val="auto"/>
        </w:rPr>
      </w:pPr>
      <w:r>
        <w:rPr>
          <w:rFonts w:ascii="Arial" w:cs="Arial" w:eastAsia="Arial" w:hAnsi="Arial"/>
          <w:sz w:val="16"/>
          <w:szCs w:val="16"/>
          <w:color w:val="auto"/>
        </w:rPr>
        <w:t xml:space="preserve">Additional details regarding vehicle models are available on the Company’s web-site at </w:t>
      </w:r>
      <w:r>
        <w:rPr>
          <w:rFonts w:ascii="Arial" w:cs="Arial" w:eastAsia="Arial" w:hAnsi="Arial"/>
          <w:sz w:val="16"/>
          <w:szCs w:val="16"/>
          <w:u w:val="single" w:color="auto"/>
          <w:color w:val="auto"/>
        </w:rPr>
        <w:t>http://www.easyir.com/easyir/gentex/VehicleModelList.pdf</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Non-Automatic-Dimming Rearview Mirrors.</w:t>
      </w:r>
    </w:p>
    <w:p>
      <w:pPr>
        <w:spacing w:after="0" w:line="176" w:lineRule="exact"/>
        <w:rPr>
          <w:sz w:val="20"/>
          <w:szCs w:val="20"/>
          <w:color w:val="auto"/>
        </w:rPr>
      </w:pPr>
    </w:p>
    <w:p>
      <w:pPr>
        <w:jc w:val="both"/>
        <w:ind w:left="280" w:right="1559"/>
        <w:spacing w:after="0" w:line="244" w:lineRule="auto"/>
        <w:rPr>
          <w:sz w:val="20"/>
          <w:szCs w:val="20"/>
          <w:color w:val="auto"/>
        </w:rPr>
      </w:pPr>
      <w:r>
        <w:rPr>
          <w:rFonts w:ascii="Arial" w:cs="Arial" w:eastAsia="Arial" w:hAnsi="Arial"/>
          <w:sz w:val="16"/>
          <w:szCs w:val="16"/>
          <w:color w:val="auto"/>
        </w:rPr>
        <w:t>In 2007, the Company began shipping non-auto-dimming exterior mirrors with electronic features (i.e. side blind zone indicators) in low volume. During 2009, unit shipments for non-auto-dimming exterior mirrors with electronic features continued in low volume.</w:t>
      </w:r>
    </w:p>
    <w:p>
      <w:pPr>
        <w:spacing w:after="0" w:line="140" w:lineRule="exact"/>
        <w:rPr>
          <w:sz w:val="20"/>
          <w:szCs w:val="20"/>
          <w:color w:val="auto"/>
        </w:rPr>
      </w:pPr>
    </w:p>
    <w:p>
      <w:pPr>
        <w:ind w:left="280" w:right="1699"/>
        <w:spacing w:after="0" w:line="241" w:lineRule="auto"/>
        <w:rPr>
          <w:sz w:val="20"/>
          <w:szCs w:val="20"/>
          <w:color w:val="auto"/>
        </w:rPr>
      </w:pPr>
      <w:r>
        <w:rPr>
          <w:rFonts w:ascii="Arial" w:cs="Arial" w:eastAsia="Arial" w:hAnsi="Arial"/>
          <w:sz w:val="16"/>
          <w:szCs w:val="16"/>
          <w:i w:val="1"/>
          <w:iCs w:val="1"/>
          <w:u w:val="single" w:color="auto"/>
          <w:color w:val="auto"/>
        </w:rPr>
        <w:t>Automotive Mirrors Product Development</w:t>
      </w:r>
      <w:r>
        <w:rPr>
          <w:rFonts w:ascii="Arial" w:cs="Arial" w:eastAsia="Arial" w:hAnsi="Arial"/>
          <w:sz w:val="16"/>
          <w:szCs w:val="16"/>
          <w:color w:val="auto"/>
        </w:rPr>
        <w:t>. The Company plans to continue introducing additional advanced-feature</w:t>
      </w:r>
      <w:r>
        <w:rPr>
          <w:rFonts w:ascii="Arial" w:cs="Arial" w:eastAsia="Arial" w:hAnsi="Arial"/>
          <w:sz w:val="16"/>
          <w:szCs w:val="16"/>
          <w:i w:val="1"/>
          <w:iCs w:val="1"/>
          <w:color w:val="auto"/>
        </w:rPr>
        <w:t xml:space="preserve"> </w:t>
      </w:r>
      <w:r>
        <w:rPr>
          <w:rFonts w:ascii="Arial" w:cs="Arial" w:eastAsia="Arial" w:hAnsi="Arial"/>
          <w:sz w:val="16"/>
          <w:szCs w:val="16"/>
          <w:color w:val="auto"/>
        </w:rPr>
        <w:t>auto-dimming mirrors. Advanced-feature auto-dimming mirrors currently being offered by the Company include the auto-dimming headlamp control mirror, the auto-dimming lighted mirror with LED map lamps, the auto-dimming compass mirror, the auto-dimming mirror with remote keyless entry, the auto-dimming compass/temperature mirror, the auto-dimming dual display compass/temperature mirror, auto-dimming telematics mirrors and the auto-dimming HomeLink</w:t>
      </w:r>
      <w:r>
        <w:rPr>
          <w:rFonts w:ascii="Arial" w:cs="Arial" w:eastAsia="Arial" w:hAnsi="Arial"/>
          <w:sz w:val="13"/>
          <w:szCs w:val="13"/>
          <w:color w:val="auto"/>
        </w:rPr>
        <w:t>®</w:t>
      </w:r>
      <w:r>
        <w:rPr>
          <w:rFonts w:ascii="Arial" w:cs="Arial" w:eastAsia="Arial" w:hAnsi="Arial"/>
          <w:sz w:val="16"/>
          <w:szCs w:val="16"/>
          <w:color w:val="auto"/>
        </w:rPr>
        <w:t xml:space="preserve"> mirror. During 2001, the Company announced a revolutionary new proprietary technology, called SmartBeam</w:t>
      </w:r>
      <w:r>
        <w:rPr>
          <w:rFonts w:ascii="Arial" w:cs="Arial" w:eastAsia="Arial" w:hAnsi="Arial"/>
          <w:sz w:val="13"/>
          <w:szCs w:val="13"/>
          <w:color w:val="auto"/>
        </w:rPr>
        <w:t>®</w:t>
      </w:r>
      <w:r>
        <w:rPr>
          <w:rFonts w:ascii="Arial" w:cs="Arial" w:eastAsia="Arial" w:hAnsi="Arial"/>
          <w:sz w:val="16"/>
          <w:szCs w:val="16"/>
          <w:color w:val="auto"/>
        </w:rPr>
        <w:t>, that uses a custom, active-pixel, CMOS sensor, and maximizes a driver’s forward vision by significantly improving utilization of the vehicle’s high-beam headlamps during nighttime driving. During 2004, the Company began shipping auto-dimming mirrors with SmartBeam</w:t>
      </w:r>
      <w:r>
        <w:rPr>
          <w:rFonts w:ascii="Arial" w:cs="Arial" w:eastAsia="Arial" w:hAnsi="Arial"/>
          <w:sz w:val="13"/>
          <w:szCs w:val="13"/>
          <w:color w:val="auto"/>
        </w:rPr>
        <w:t>®</w:t>
      </w:r>
      <w:r>
        <w:rPr>
          <w:rFonts w:ascii="Arial" w:cs="Arial" w:eastAsia="Arial" w:hAnsi="Arial"/>
          <w:sz w:val="16"/>
          <w:szCs w:val="16"/>
          <w:color w:val="auto"/>
        </w:rPr>
        <w:t>, its proprietary intelligent high-beam headlamp control feature. The Company is currently shipping auto-dimming mirrors with SmartBeam</w:t>
      </w:r>
      <w:r>
        <w:rPr>
          <w:rFonts w:ascii="Arial" w:cs="Arial" w:eastAsia="Arial" w:hAnsi="Arial"/>
          <w:sz w:val="13"/>
          <w:szCs w:val="13"/>
          <w:color w:val="auto"/>
        </w:rPr>
        <w:t>®</w:t>
      </w:r>
      <w:r>
        <w:rPr>
          <w:rFonts w:ascii="Arial" w:cs="Arial" w:eastAsia="Arial" w:hAnsi="Arial"/>
          <w:sz w:val="16"/>
          <w:szCs w:val="16"/>
          <w:color w:val="auto"/>
        </w:rPr>
        <w:t xml:space="preserve"> for 33 vehicle models.</w:t>
      </w:r>
    </w:p>
    <w:p>
      <w:pPr>
        <w:spacing w:after="0" w:line="200" w:lineRule="exact"/>
        <w:rPr>
          <w:sz w:val="20"/>
          <w:szCs w:val="20"/>
          <w:color w:val="auto"/>
        </w:rPr>
      </w:pPr>
    </w:p>
    <w:p>
      <w:pPr>
        <w:spacing w:after="0" w:line="289"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left="280" w:right="1599"/>
        <w:spacing w:after="0"/>
        <w:rPr>
          <w:sz w:val="20"/>
          <w:szCs w:val="20"/>
          <w:color w:val="auto"/>
        </w:rPr>
      </w:pPr>
      <w:r>
        <w:rPr>
          <w:rFonts w:ascii="Arial" w:cs="Arial" w:eastAsia="Arial" w:hAnsi="Arial"/>
          <w:sz w:val="16"/>
          <w:szCs w:val="16"/>
          <w:color w:val="auto"/>
        </w:rPr>
        <w:t>During 2009, the Company expanded the capabilities of its SmartBeam</w:t>
      </w:r>
      <w:r>
        <w:rPr>
          <w:rFonts w:ascii="Arial" w:cs="Arial" w:eastAsia="Arial" w:hAnsi="Arial"/>
          <w:sz w:val="13"/>
          <w:szCs w:val="13"/>
          <w:color w:val="auto"/>
        </w:rPr>
        <w:t>®</w:t>
      </w:r>
      <w:r>
        <w:rPr>
          <w:rFonts w:ascii="Arial" w:cs="Arial" w:eastAsia="Arial" w:hAnsi="Arial"/>
          <w:sz w:val="16"/>
          <w:szCs w:val="16"/>
          <w:color w:val="auto"/>
        </w:rPr>
        <w:t xml:space="preserve"> product to include VFL and DFL. VFL also automates high-beam and low-beam switching. But, in addition, by communicating with the vehicle’s dynamic-leveling headlamp systems, it produces “continuously variable low beams” — automatically extending and contracting the low-beam patterns. This technology provides an added level of forward lighting optimization by maximizing both low and high beams. DFL can be used to control “constant on” high-beam systems. It works in conjunction with emerging future headlamp technology to generate glare-free “block out” zones that shield oncoming and preceding vehicles from headlamp glare. This allows light to be projected around the surrounding traffic, and optimize the capabilities of the SmartBeam</w:t>
      </w:r>
      <w:r>
        <w:rPr>
          <w:rFonts w:ascii="Arial" w:cs="Arial" w:eastAsia="Arial" w:hAnsi="Arial"/>
          <w:sz w:val="13"/>
          <w:szCs w:val="13"/>
          <w:color w:val="auto"/>
        </w:rPr>
        <w:t>®</w:t>
      </w:r>
      <w:r>
        <w:rPr>
          <w:rFonts w:ascii="Arial" w:cs="Arial" w:eastAsia="Arial" w:hAnsi="Arial"/>
          <w:sz w:val="16"/>
          <w:szCs w:val="16"/>
          <w:color w:val="auto"/>
        </w:rPr>
        <w:t xml:space="preserve"> Intelligent Forward Lighting System.</w:t>
      </w:r>
    </w:p>
    <w:p>
      <w:pPr>
        <w:spacing w:after="0" w:line="159" w:lineRule="exact"/>
        <w:rPr>
          <w:sz w:val="20"/>
          <w:szCs w:val="20"/>
          <w:color w:val="auto"/>
        </w:rPr>
      </w:pPr>
    </w:p>
    <w:p>
      <w:pPr>
        <w:ind w:left="280" w:right="1579"/>
        <w:spacing w:after="0" w:line="239" w:lineRule="auto"/>
        <w:rPr>
          <w:sz w:val="20"/>
          <w:szCs w:val="20"/>
          <w:color w:val="auto"/>
        </w:rPr>
      </w:pPr>
      <w:r>
        <w:rPr>
          <w:rFonts w:ascii="Arial" w:cs="Arial" w:eastAsia="Arial" w:hAnsi="Arial"/>
          <w:sz w:val="16"/>
          <w:szCs w:val="16"/>
          <w:color w:val="auto"/>
        </w:rPr>
        <w:t>During 2006, the Company announced development programs with several automakers for its RCD Mirror that consists of a proprietary LCD device that shows a panoramic video view of objects behind the vehicle in real time. When the vehicle is put in “reverse,” the display illuminates and automatically appears through the rearview mirror’s reflective surface to give a high resolution, bright colored image. The image is generated by a camera or cameras placed in a protected area at the rear of the vehicle. When the vehicle is put in “drive,” the display in the mirror automatically disappears. The ability to automatically have the display appear through the auto-dimming mirror’s surface is made possible by utilizing proprietary “transflective” coatings developed by the Company. The Company is currently shipping auto-dimming mirrors with its RCD Mirror for 56 vehicle models.</w:t>
      </w:r>
    </w:p>
    <w:p>
      <w:pPr>
        <w:spacing w:after="0" w:line="150" w:lineRule="exact"/>
        <w:rPr>
          <w:sz w:val="20"/>
          <w:szCs w:val="20"/>
          <w:color w:val="auto"/>
        </w:rPr>
      </w:pPr>
    </w:p>
    <w:p>
      <w:pPr>
        <w:ind w:left="280" w:right="1659"/>
        <w:spacing w:after="0" w:line="241" w:lineRule="auto"/>
        <w:rPr>
          <w:sz w:val="20"/>
          <w:szCs w:val="20"/>
          <w:color w:val="auto"/>
        </w:rPr>
      </w:pPr>
      <w:r>
        <w:rPr>
          <w:rFonts w:ascii="Arial" w:cs="Arial" w:eastAsia="Arial" w:hAnsi="Arial"/>
          <w:sz w:val="16"/>
          <w:szCs w:val="16"/>
          <w:color w:val="auto"/>
        </w:rPr>
        <w:t>In addition, the Company has developed its own compass technology, which can be sold as a system with the compass heading displayed in the interior auto-dimming mirror. The Gentex compass technology is called Z-Nav</w:t>
      </w:r>
      <w:r>
        <w:rPr>
          <w:rFonts w:ascii="Arial" w:cs="Arial" w:eastAsia="Arial" w:hAnsi="Arial"/>
          <w:sz w:val="13"/>
          <w:szCs w:val="13"/>
          <w:color w:val="auto"/>
        </w:rPr>
        <w:t>®</w:t>
      </w:r>
      <w:r>
        <w:rPr>
          <w:rFonts w:ascii="Arial" w:cs="Arial" w:eastAsia="Arial" w:hAnsi="Arial"/>
          <w:sz w:val="16"/>
          <w:szCs w:val="16"/>
          <w:color w:val="auto"/>
        </w:rPr>
        <w:t>, as it features a proprietary, digital, tri-axis sensor (transducer) and software. The tri-axis design is similar to compasses used in highly scientific apparatus such as aerospace applications, and can be mounted on any fixed or pivotal location in the vehicle, including inside the mirror housing.</w:t>
      </w:r>
    </w:p>
    <w:p>
      <w:pPr>
        <w:spacing w:after="0" w:line="145" w:lineRule="exact"/>
        <w:rPr>
          <w:sz w:val="20"/>
          <w:szCs w:val="20"/>
          <w:color w:val="auto"/>
        </w:rPr>
      </w:pPr>
    </w:p>
    <w:p>
      <w:pPr>
        <w:ind w:left="280" w:right="1619"/>
        <w:spacing w:after="0" w:line="244" w:lineRule="auto"/>
        <w:rPr>
          <w:sz w:val="20"/>
          <w:szCs w:val="20"/>
          <w:color w:val="auto"/>
        </w:rPr>
      </w:pPr>
      <w:r>
        <w:rPr>
          <w:rFonts w:ascii="Arial" w:cs="Arial" w:eastAsia="Arial" w:hAnsi="Arial"/>
          <w:sz w:val="16"/>
          <w:szCs w:val="16"/>
          <w:color w:val="auto"/>
        </w:rPr>
        <w:t>The Company also developed an ALS (Active Light Sensor) technology as a cost-effective, improved-performance, intelligent CMOS light sensor to control the dimming of its rearview mirrors, and the Company began making volume shipments of mirrors incorporating ALS in 2002.</w:t>
      </w:r>
    </w:p>
    <w:p>
      <w:pPr>
        <w:spacing w:after="0" w:line="156" w:lineRule="exact"/>
        <w:rPr>
          <w:sz w:val="20"/>
          <w:szCs w:val="20"/>
          <w:color w:val="auto"/>
        </w:rPr>
      </w:pPr>
    </w:p>
    <w:p>
      <w:pPr>
        <w:ind w:left="280" w:right="1559"/>
        <w:spacing w:after="0"/>
        <w:rPr>
          <w:sz w:val="20"/>
          <w:szCs w:val="20"/>
          <w:color w:val="auto"/>
        </w:rPr>
      </w:pPr>
      <w:r>
        <w:rPr>
          <w:rFonts w:ascii="Arial" w:cs="Arial" w:eastAsia="Arial" w:hAnsi="Arial"/>
          <w:sz w:val="16"/>
          <w:szCs w:val="16"/>
          <w:color w:val="auto"/>
        </w:rPr>
        <w:t>During 2001, the Company developed a new microphone designed specifically for use in the automotive environment for telematics applications. The first volume Gentex microphone application was part of DaimlerChrysler’s “U-Connect</w:t>
      </w:r>
      <w:r>
        <w:rPr>
          <w:rFonts w:ascii="Arial" w:cs="Arial" w:eastAsia="Arial" w:hAnsi="Arial"/>
          <w:sz w:val="13"/>
          <w:szCs w:val="13"/>
          <w:color w:val="auto"/>
        </w:rPr>
        <w:t>®</w:t>
      </w:r>
      <w:r>
        <w:rPr>
          <w:rFonts w:ascii="Arial" w:cs="Arial" w:eastAsia="Arial" w:hAnsi="Arial"/>
          <w:sz w:val="16"/>
          <w:szCs w:val="16"/>
          <w:color w:val="auto"/>
        </w:rPr>
        <w:t>” telematics system, beginning in 2003. During 2006, the Company’s proprietary integrated hands-free microphone was available as part of an optional navigation package at Ford. Also, the Company continues to separately shipping its proprietary microphone units that are being incorporated into prismatic interior mirrors at a customer’s request.</w:t>
      </w:r>
    </w:p>
    <w:p>
      <w:pPr>
        <w:spacing w:after="0" w:line="148" w:lineRule="exact"/>
        <w:rPr>
          <w:sz w:val="20"/>
          <w:szCs w:val="20"/>
          <w:color w:val="auto"/>
        </w:rPr>
      </w:pPr>
    </w:p>
    <w:p>
      <w:pPr>
        <w:ind w:left="280" w:right="1639"/>
        <w:spacing w:after="0"/>
        <w:rPr>
          <w:sz w:val="20"/>
          <w:szCs w:val="20"/>
          <w:color w:val="auto"/>
        </w:rPr>
      </w:pPr>
      <w:r>
        <w:rPr>
          <w:rFonts w:ascii="Arial" w:cs="Arial" w:eastAsia="Arial" w:hAnsi="Arial"/>
          <w:sz w:val="16"/>
          <w:szCs w:val="16"/>
          <w:color w:val="auto"/>
        </w:rPr>
        <w:t>Of particular importance to the Company has been the development of its electrochromic technology for use in complete three-mirror systems. In these systems, both the driver- and passenger-side exterior auto-dimming mirrors are controlled by the sensors and electronic circuitry in the interior rearview mirror, and the interior and both exterior mirrors dim simultaneously. The Company’s engineering, research, and development expenses are set forth as a separate line item in the Consolidated Statement of Income of the Company’s Consolidated Financial Statements filed in this report.</w:t>
      </w:r>
    </w:p>
    <w:p>
      <w:pPr>
        <w:spacing w:after="0" w:line="132" w:lineRule="exact"/>
        <w:rPr>
          <w:sz w:val="20"/>
          <w:szCs w:val="20"/>
          <w:color w:val="auto"/>
        </w:rPr>
      </w:pPr>
    </w:p>
    <w:p>
      <w:pPr>
        <w:ind w:left="280" w:right="1539"/>
        <w:spacing w:after="0"/>
        <w:rPr>
          <w:sz w:val="20"/>
          <w:szCs w:val="20"/>
          <w:color w:val="auto"/>
        </w:rPr>
      </w:pPr>
      <w:r>
        <w:rPr>
          <w:rFonts w:ascii="Arial" w:cs="Arial" w:eastAsia="Arial" w:hAnsi="Arial"/>
          <w:sz w:val="16"/>
          <w:szCs w:val="16"/>
          <w:i w:val="1"/>
          <w:iCs w:val="1"/>
          <w:u w:val="single" w:color="auto"/>
          <w:color w:val="auto"/>
        </w:rPr>
        <w:t>Automotive Mirrors Markets and Marketing</w:t>
      </w:r>
      <w:r>
        <w:rPr>
          <w:rFonts w:ascii="Arial" w:cs="Arial" w:eastAsia="Arial" w:hAnsi="Arial"/>
          <w:sz w:val="16"/>
          <w:szCs w:val="16"/>
          <w:color w:val="auto"/>
        </w:rPr>
        <w:t>. In North America, the Company markets its products primarily through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 sales force. The Company generally supplies auto-dimming mirrors to its customers worldwide under annual blanket purchase orders. The Company currently supplies auto-dimming mirrors to General Motors Corporation and Chrysler LLC under long-term agreements, entered into in the ordinary course of business. During 2005, the Company negotiated an extension to its long-term agreement for inside mirrors with General Motors in the ordinary course of the Company’s business. Under the extension, Gentex was sourced virtually all of the interior auto-dimming rearview mirror programs for GM and its worldwide affiliates through August 2009, except for two low-volume models that had previously been awarded to a Gentex competitor under a lifetime contract. The new business included the GMT360 program (which is the mid-size truck/SUV platform that previously did not offer auto-dimming mirrors). During 2008, the Company negotiated another extension to the existing agreement, through August 1, 2012, in the ordinary course of the Company’s business. GM intends to honor its existing agreements with the Company despite their Chapter 11 Bankruptcy filing in June 2009.</w:t>
      </w:r>
    </w:p>
    <w:p>
      <w:pPr>
        <w:spacing w:after="0" w:line="165" w:lineRule="exact"/>
        <w:rPr>
          <w:sz w:val="20"/>
          <w:szCs w:val="20"/>
          <w:color w:val="auto"/>
        </w:rPr>
      </w:pPr>
    </w:p>
    <w:p>
      <w:pPr>
        <w:ind w:left="280" w:right="1539"/>
        <w:spacing w:after="0" w:line="239" w:lineRule="auto"/>
        <w:rPr>
          <w:sz w:val="20"/>
          <w:szCs w:val="20"/>
          <w:color w:val="auto"/>
        </w:rPr>
      </w:pPr>
      <w:r>
        <w:rPr>
          <w:rFonts w:ascii="Arial" w:cs="Arial" w:eastAsia="Arial" w:hAnsi="Arial"/>
          <w:sz w:val="16"/>
          <w:szCs w:val="16"/>
          <w:color w:val="auto"/>
        </w:rPr>
        <w:t>The Company had a long-term agreement with Daimler AG (formerly DaimlerChrysler AG) entered into in the ordinary course of the Company’s business. Under the agreement, the Company was sourced virtually all interior and exterior auto-dimming mirror business at Mercedes and Chrysler through December 2009. The Company’s exterior auto-dimming mirror sub-assemblies are supplied by means of sales to exterior mirror suppliers. During 2007, the Company negotiated an extension to its global supply agreement with Chrysler LLC in the ordinary course of the Company’s business. Under the extension, the Company will be sourced virtually all Chrysler interior auto-dimming rearview mirrors through 2015. Chrysler intends to honor its agreements with the Company despite their Chapter 11 Bankruptcy filing in April 2009. From publicly available information, the Company does not believe that the Daimler sale of the Chrysler unit will significantly impact the Company’s current business with Chrysler or Mercedes in the near term, but there may be other information of which the Company is not aware.</w:t>
      </w:r>
    </w:p>
    <w:p>
      <w:pPr>
        <w:spacing w:after="0" w:line="200" w:lineRule="exact"/>
        <w:rPr>
          <w:sz w:val="20"/>
          <w:szCs w:val="20"/>
          <w:color w:val="auto"/>
        </w:rPr>
      </w:pPr>
    </w:p>
    <w:p>
      <w:pPr>
        <w:spacing w:after="0" w:line="289"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280" w:right="2860"/>
        <w:spacing w:after="0" w:line="242" w:lineRule="auto"/>
        <w:rPr>
          <w:sz w:val="20"/>
          <w:szCs w:val="20"/>
          <w:color w:val="auto"/>
        </w:rPr>
      </w:pPr>
      <w:r>
        <w:rPr>
          <w:rFonts w:ascii="Arial" w:cs="Arial" w:eastAsia="Arial" w:hAnsi="Arial"/>
          <w:sz w:val="16"/>
          <w:szCs w:val="16"/>
          <w:color w:val="auto"/>
        </w:rPr>
        <w:t>The Company previously negotiated a multi-sourcing agreement with Ford Motor Company in the ordinary course of the Company’s business. Under the agreement, the Company was sourced all existing interior auto-dimming rearview mirror programs as well as a number of new interior auto-dimming rearview mirror programs during the agreement term which ended on December 31, 2008.</w:t>
      </w:r>
    </w:p>
    <w:p>
      <w:pPr>
        <w:spacing w:after="0" w:line="157" w:lineRule="exact"/>
        <w:rPr>
          <w:sz w:val="20"/>
          <w:szCs w:val="20"/>
          <w:color w:val="auto"/>
        </w:rPr>
      </w:pPr>
    </w:p>
    <w:p>
      <w:pPr>
        <w:ind w:left="280" w:right="2760"/>
        <w:spacing w:after="0" w:line="239" w:lineRule="auto"/>
        <w:rPr>
          <w:sz w:val="20"/>
          <w:szCs w:val="20"/>
          <w:color w:val="auto"/>
        </w:rPr>
      </w:pPr>
      <w:r>
        <w:rPr>
          <w:rFonts w:ascii="Arial" w:cs="Arial" w:eastAsia="Arial" w:hAnsi="Arial"/>
          <w:sz w:val="16"/>
          <w:szCs w:val="16"/>
          <w:color w:val="auto"/>
        </w:rPr>
        <w:t>During 1993, the Company established a sales and engineering office in Germany and the following year, the Company formed a German limited liability company, Gentex GmbH, to expand its sales and engineering support activities in Europe. During 1999, the Company established Gentex Mirrors, Ltd., as a sales and engineering office in the United Kingdom. During 2000, the Company established Gentex France, SAS, as a sales and engineering office in France. During 2003, the Company established a satellite office in Munich, Germany, and during 2005, the Company established a satellite office in Sweden. The Company’s marketing efforts in Europe are conducted through Gentex GmbH, Gentex Mirrors, Ltd., and Gentex France SAS. The Company is currently supplying mirrors for Audi, BMW, Bentley, Citroen, Chrysler of Europe, Fiat, Ford of Europe, Honda of Europe, Jaguar, Tata/Land Rover, Mercedes-Benz, Nissan of Europe, Opel, Maserati, Peugeot, Porsche, Rolls Royce, Saab, SEAT, Skoda, Toyota of Europe, Volkswagen and Volvo in Europe.</w:t>
      </w:r>
    </w:p>
    <w:p>
      <w:pPr>
        <w:spacing w:after="0" w:line="148" w:lineRule="exact"/>
        <w:rPr>
          <w:sz w:val="20"/>
          <w:szCs w:val="20"/>
          <w:color w:val="auto"/>
        </w:rPr>
      </w:pPr>
    </w:p>
    <w:p>
      <w:pPr>
        <w:ind w:left="280" w:right="2760"/>
        <w:spacing w:after="0"/>
        <w:rPr>
          <w:sz w:val="20"/>
          <w:szCs w:val="20"/>
          <w:color w:val="auto"/>
        </w:rPr>
      </w:pPr>
      <w:r>
        <w:rPr>
          <w:rFonts w:ascii="Arial" w:cs="Arial" w:eastAsia="Arial" w:hAnsi="Arial"/>
          <w:sz w:val="16"/>
          <w:szCs w:val="16"/>
          <w:color w:val="auto"/>
        </w:rPr>
        <w:t>In 1991, the Company began shipping electrochromic mirror assemblies for Nissan Motor Co., Ltd. under a reciprocal distribution agreement entered into the ordinary course of business with Ichikoh Industries, Ltd. (Ichikoh), a major Japanese supplier of automotive products. Under this agreement, Ichikoh marketed the Company’s automatic mirrors to certain Japanese automomakers and their subsidiaries with manufacturing facilities in Asia. The arrangement involved very limited technology transfer by the Company and did not include the Company’s proprietary eletrochromic gel formulation. The agreement was terminated by mutual agreement in 2001.</w:t>
      </w:r>
    </w:p>
    <w:p>
      <w:pPr>
        <w:spacing w:after="0" w:line="148" w:lineRule="exact"/>
        <w:rPr>
          <w:sz w:val="20"/>
          <w:szCs w:val="20"/>
          <w:color w:val="auto"/>
        </w:rPr>
      </w:pPr>
    </w:p>
    <w:p>
      <w:pPr>
        <w:ind w:left="280" w:right="2840"/>
        <w:spacing w:after="0" w:line="239" w:lineRule="auto"/>
        <w:rPr>
          <w:sz w:val="20"/>
          <w:szCs w:val="20"/>
          <w:color w:val="auto"/>
        </w:rPr>
      </w:pPr>
      <w:r>
        <w:rPr>
          <w:rFonts w:ascii="Arial" w:cs="Arial" w:eastAsia="Arial" w:hAnsi="Arial"/>
          <w:sz w:val="16"/>
          <w:szCs w:val="16"/>
          <w:color w:val="auto"/>
        </w:rPr>
        <w:t>During 1993, the Company hired a sales agent to market auto-dimming mirrors to other Japanese automakers beyond Nissan. Subsequently in 1998, the Company established Gentex Japan, Inc., as a sales and engineering office in Nagoya, Japan, to expand its sales and engineering support in Japan. In 2000, the Company signed an agreement with Murakami Corporation, a major Japanese mirror manufacturer, to cooperate in expanding sales of automatic-dimming mirrors using the Gentex electrochromic technology. During 2006, the agreement with Murakami Corporation was terminated and replaced with a Memorandum of Understanding. During 2007, the Company signed a new supplier agreement with Murakami Corporation in the ordinary course of the Company’s business. During 2002, the Company established Gentex Technologies Korea Co., Ltd. as a sales and engineering office in Seoul, Korea. During 2004, the Company established a satellite office in Yokohama, Japan. During 2005, the Company opened a sales and engineering office near Shanghai, China. The Company is currently supplying mirrors for Daewoo/Ssangyong, Chrysler, Ford, GM, Honda, Hyundai, Infiniti, Kia Motors, Lexus, Mazda, Mitsubishi, Nissan, Suzuki, Samsung, Toyota and Volkswagen/Audi in Asia.</w:t>
      </w:r>
    </w:p>
    <w:p>
      <w:pPr>
        <w:spacing w:after="0" w:line="15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Company’s auto-dimming mirror unit shipment mix by region has significantly changed over the past ten years.</w:t>
      </w:r>
    </w:p>
    <w:p>
      <w:pPr>
        <w:ind w:left="280"/>
        <w:spacing w:after="0"/>
        <w:rPr>
          <w:sz w:val="20"/>
          <w:szCs w:val="20"/>
          <w:color w:val="auto"/>
        </w:rPr>
      </w:pPr>
      <w:r>
        <w:rPr>
          <w:rFonts w:ascii="Arial" w:cs="Arial" w:eastAsia="Arial" w:hAnsi="Arial"/>
          <w:sz w:val="16"/>
          <w:szCs w:val="16"/>
          <w:color w:val="auto"/>
        </w:rPr>
        <w:t>The following is a breakdown of unit shipment mix by region in 2009 vs. 1999 calendar years: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400" w:type="dxa"/>
            <w:vAlign w:val="bottom"/>
            <w:gridSpan w:val="2"/>
          </w:tcPr>
          <w:p>
            <w:pPr>
              <w:jc w:val="right"/>
              <w:ind w:right="159"/>
              <w:spacing w:after="0"/>
              <w:rPr>
                <w:sz w:val="20"/>
                <w:szCs w:val="20"/>
                <w:color w:val="auto"/>
              </w:rPr>
            </w:pPr>
            <w:r>
              <w:rPr>
                <w:rFonts w:ascii="Arial" w:cs="Arial" w:eastAsia="Arial" w:hAnsi="Arial"/>
                <w:sz w:val="16"/>
                <w:szCs w:val="16"/>
                <w:color w:val="auto"/>
              </w:rPr>
              <w:t>2009</w:t>
            </w:r>
          </w:p>
        </w:tc>
        <w:tc>
          <w:tcPr>
            <w:tcW w:w="380" w:type="dxa"/>
            <w:vAlign w:val="bottom"/>
          </w:tcPr>
          <w:p>
            <w:pPr>
              <w:spacing w:after="0"/>
              <w:rPr>
                <w:sz w:val="16"/>
                <w:szCs w:val="16"/>
                <w:color w:val="auto"/>
              </w:rPr>
            </w:pPr>
          </w:p>
        </w:tc>
        <w:tc>
          <w:tcPr>
            <w:tcW w:w="840" w:type="dxa"/>
            <w:vAlign w:val="bottom"/>
          </w:tcPr>
          <w:p>
            <w:pPr>
              <w:jc w:val="right"/>
              <w:ind w:right="159"/>
              <w:spacing w:after="0"/>
              <w:rPr>
                <w:sz w:val="20"/>
                <w:szCs w:val="20"/>
                <w:color w:val="auto"/>
              </w:rPr>
            </w:pPr>
            <w:r>
              <w:rPr>
                <w:rFonts w:ascii="Arial" w:cs="Arial" w:eastAsia="Arial" w:hAnsi="Arial"/>
                <w:sz w:val="16"/>
                <w:szCs w:val="16"/>
                <w:color w:val="auto"/>
              </w:rPr>
              <w:t>1999</w:t>
            </w:r>
          </w:p>
        </w:tc>
        <w:tc>
          <w:tcPr>
            <w:tcW w:w="1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26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Domestic</w:t>
            </w:r>
          </w:p>
        </w:tc>
        <w:tc>
          <w:tcPr>
            <w:tcW w:w="4780" w:type="dxa"/>
            <w:vAlign w:val="bottom"/>
            <w:gridSpan w:val="3"/>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21%</w:t>
            </w:r>
          </w:p>
        </w:tc>
        <w:tc>
          <w:tcPr>
            <w:tcW w:w="98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69%</w:t>
            </w: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5"/>
        </w:trPr>
        <w:tc>
          <w:tcPr>
            <w:tcW w:w="280" w:type="dxa"/>
            <w:vAlign w:val="bottom"/>
          </w:tcPr>
          <w:p>
            <w:pPr>
              <w:spacing w:after="0"/>
              <w:rPr>
                <w:sz w:val="24"/>
                <w:szCs w:val="24"/>
                <w:color w:val="auto"/>
              </w:rPr>
            </w:pPr>
          </w:p>
        </w:tc>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Transplants</w:t>
            </w:r>
          </w:p>
        </w:tc>
        <w:tc>
          <w:tcPr>
            <w:tcW w:w="4780" w:type="dxa"/>
            <w:vAlign w:val="bottom"/>
            <w:gridSpan w:val="3"/>
          </w:tcPr>
          <w:p>
            <w:pPr>
              <w:jc w:val="right"/>
              <w:ind w:right="240"/>
              <w:spacing w:after="0"/>
              <w:rPr>
                <w:sz w:val="20"/>
                <w:szCs w:val="20"/>
                <w:color w:val="auto"/>
              </w:rPr>
            </w:pPr>
            <w:r>
              <w:rPr>
                <w:rFonts w:ascii="Arial" w:cs="Arial" w:eastAsia="Arial" w:hAnsi="Arial"/>
                <w:sz w:val="16"/>
                <w:szCs w:val="16"/>
                <w:color w:val="auto"/>
              </w:rPr>
              <w:t>13%</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26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North America</w:t>
            </w:r>
          </w:p>
        </w:tc>
        <w:tc>
          <w:tcPr>
            <w:tcW w:w="4780" w:type="dxa"/>
            <w:vAlign w:val="bottom"/>
            <w:gridSpan w:val="3"/>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34%</w:t>
            </w:r>
          </w:p>
        </w:tc>
        <w:tc>
          <w:tcPr>
            <w:tcW w:w="98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70%</w:t>
            </w: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6"/>
        </w:trPr>
        <w:tc>
          <w:tcPr>
            <w:tcW w:w="280" w:type="dxa"/>
            <w:vAlign w:val="bottom"/>
          </w:tcPr>
          <w:p>
            <w:pPr>
              <w:spacing w:after="0"/>
              <w:rPr>
                <w:sz w:val="24"/>
                <w:szCs w:val="24"/>
                <w:color w:val="auto"/>
              </w:rPr>
            </w:pPr>
          </w:p>
        </w:tc>
        <w:tc>
          <w:tcPr>
            <w:tcW w:w="2600" w:type="dxa"/>
            <w:vAlign w:val="bottom"/>
          </w:tcPr>
          <w:p>
            <w:pPr>
              <w:ind w:left="20"/>
              <w:spacing w:after="0"/>
              <w:rPr>
                <w:sz w:val="20"/>
                <w:szCs w:val="20"/>
                <w:color w:val="auto"/>
              </w:rPr>
            </w:pPr>
            <w:r>
              <w:rPr>
                <w:rFonts w:ascii="Arial" w:cs="Arial" w:eastAsia="Arial" w:hAnsi="Arial"/>
                <w:sz w:val="16"/>
                <w:szCs w:val="16"/>
                <w:b w:val="1"/>
                <w:bCs w:val="1"/>
                <w:color w:val="auto"/>
              </w:rPr>
              <w:t>Europe</w:t>
            </w:r>
          </w:p>
        </w:tc>
        <w:tc>
          <w:tcPr>
            <w:tcW w:w="4780" w:type="dxa"/>
            <w:vAlign w:val="bottom"/>
            <w:gridSpan w:val="3"/>
          </w:tcPr>
          <w:p>
            <w:pPr>
              <w:jc w:val="right"/>
              <w:ind w:right="240"/>
              <w:spacing w:after="0"/>
              <w:rPr>
                <w:sz w:val="20"/>
                <w:szCs w:val="20"/>
                <w:color w:val="auto"/>
              </w:rPr>
            </w:pPr>
            <w:r>
              <w:rPr>
                <w:rFonts w:ascii="Arial" w:cs="Arial" w:eastAsia="Arial" w:hAnsi="Arial"/>
                <w:sz w:val="16"/>
                <w:szCs w:val="16"/>
                <w:color w:val="auto"/>
              </w:rPr>
              <w:t>47%</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26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b w:val="1"/>
                <w:bCs w:val="1"/>
                <w:color w:val="auto"/>
              </w:rPr>
              <w:t>Asia-Pacific</w:t>
            </w:r>
          </w:p>
        </w:tc>
        <w:tc>
          <w:tcPr>
            <w:tcW w:w="356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19%</w:t>
            </w:r>
          </w:p>
        </w:tc>
        <w:tc>
          <w:tcPr>
            <w:tcW w:w="98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7%</w:t>
            </w: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100%</w:t>
            </w:r>
          </w:p>
        </w:tc>
        <w:tc>
          <w:tcPr>
            <w:tcW w:w="980" w:type="dxa"/>
            <w:vAlign w:val="bottom"/>
            <w:gridSpan w:val="2"/>
          </w:tcPr>
          <w:p>
            <w:pPr>
              <w:jc w:val="right"/>
              <w:spacing w:after="0"/>
              <w:rPr>
                <w:sz w:val="20"/>
                <w:szCs w:val="20"/>
                <w:color w:val="auto"/>
              </w:rPr>
            </w:pPr>
            <w:r>
              <w:rPr>
                <w:rFonts w:ascii="Arial" w:cs="Arial" w:eastAsia="Arial" w:hAnsi="Arial"/>
                <w:sz w:val="16"/>
                <w:szCs w:val="16"/>
                <w:color w:val="auto"/>
              </w:rPr>
              <w:t>100%</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3560" w:type="dxa"/>
            <w:vAlign w:val="bottom"/>
            <w:vMerge w:val="restart"/>
          </w:tcPr>
          <w:p>
            <w:pPr>
              <w:jc w:val="right"/>
              <w:ind w:right="1719"/>
              <w:spacing w:after="0"/>
              <w:rPr>
                <w:sz w:val="20"/>
                <w:szCs w:val="20"/>
                <w:color w:val="auto"/>
              </w:rPr>
            </w:pPr>
            <w:r>
              <w:rPr>
                <w:rFonts w:ascii="Arial" w:cs="Arial" w:eastAsia="Arial" w:hAnsi="Arial"/>
                <w:sz w:val="16"/>
                <w:szCs w:val="16"/>
                <w:color w:val="auto"/>
              </w:rPr>
              <w:t>- 7 -</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1"/>
        </w:trPr>
        <w:tc>
          <w:tcPr>
            <w:tcW w:w="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80" w:type="dxa"/>
            <w:vAlign w:val="bottom"/>
            <w:tcBorders>
              <w:bottom w:val="single" w:sz="8" w:color="808080"/>
            </w:tcBorders>
          </w:tcPr>
          <w:p>
            <w:pPr>
              <w:spacing w:after="0"/>
              <w:rPr>
                <w:sz w:val="16"/>
                <w:szCs w:val="16"/>
                <w:color w:val="auto"/>
              </w:rPr>
            </w:pPr>
          </w:p>
        </w:tc>
        <w:tc>
          <w:tcPr>
            <w:tcW w:w="2600" w:type="dxa"/>
            <w:vAlign w:val="bottom"/>
            <w:tcBorders>
              <w:bottom w:val="single" w:sz="8" w:color="808080"/>
            </w:tcBorders>
          </w:tcPr>
          <w:p>
            <w:pPr>
              <w:spacing w:after="0"/>
              <w:rPr>
                <w:sz w:val="16"/>
                <w:szCs w:val="16"/>
                <w:color w:val="auto"/>
              </w:rPr>
            </w:pPr>
          </w:p>
        </w:tc>
        <w:tc>
          <w:tcPr>
            <w:tcW w:w="356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38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80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91" w:right="21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280"/>
        <w:spacing w:after="0"/>
        <w:rPr>
          <w:sz w:val="20"/>
          <w:szCs w:val="20"/>
          <w:color w:val="auto"/>
        </w:rPr>
      </w:pPr>
      <w:r>
        <w:rPr>
          <w:rFonts w:ascii="Arial" w:cs="Arial" w:eastAsia="Arial" w:hAnsi="Arial"/>
          <w:sz w:val="16"/>
          <w:szCs w:val="16"/>
          <w:color w:val="auto"/>
        </w:rPr>
        <w:t>Revenues by geographic area are disclosed in footnote 8 of the Consolidated Financial Statements.</w:t>
      </w:r>
    </w:p>
    <w:p>
      <w:pPr>
        <w:spacing w:after="0" w:line="168" w:lineRule="exact"/>
        <w:rPr>
          <w:sz w:val="20"/>
          <w:szCs w:val="20"/>
          <w:color w:val="auto"/>
        </w:rPr>
      </w:pPr>
    </w:p>
    <w:p>
      <w:pPr>
        <w:ind w:left="280" w:right="1619"/>
        <w:spacing w:after="0" w:line="239" w:lineRule="auto"/>
        <w:rPr>
          <w:sz w:val="20"/>
          <w:szCs w:val="20"/>
          <w:color w:val="auto"/>
        </w:rPr>
      </w:pPr>
      <w:r>
        <w:rPr>
          <w:rFonts w:ascii="Arial" w:cs="Arial" w:eastAsia="Arial" w:hAnsi="Arial"/>
          <w:sz w:val="16"/>
          <w:szCs w:val="16"/>
          <w:color w:val="auto"/>
        </w:rPr>
        <w:t>Historically, new safety and comfort options have entered the original equipment automotive market at relatively low rates of “top of the line” or luxury model automobiles. As the selection rates for the options on the luxury models increase, they generally become available on more models throughout the product line and may become standard equipment. The recent trend of domestic and foreign automakers is to offer several options as a package. As consumer demand increases for a particular option, the mirror tends to be offered on more vehicles and in higher option rate packages. The Company anticipates that its auto-dimming mirrors will be offered as standard equipment, in higher option rate packages, and on more models as consumer awareness of the safety and comfort feature continue to become more well-known and acceptance grows.</w:t>
      </w:r>
    </w:p>
    <w:p>
      <w:pPr>
        <w:spacing w:after="0" w:line="150" w:lineRule="exact"/>
        <w:rPr>
          <w:sz w:val="20"/>
          <w:szCs w:val="20"/>
          <w:color w:val="auto"/>
        </w:rPr>
      </w:pPr>
    </w:p>
    <w:p>
      <w:pPr>
        <w:ind w:left="280" w:right="1719"/>
        <w:spacing w:after="0" w:line="241" w:lineRule="auto"/>
        <w:rPr>
          <w:sz w:val="20"/>
          <w:szCs w:val="20"/>
          <w:color w:val="auto"/>
        </w:rPr>
      </w:pPr>
      <w:r>
        <w:rPr>
          <w:rFonts w:ascii="Arial" w:cs="Arial" w:eastAsia="Arial" w:hAnsi="Arial"/>
          <w:sz w:val="16"/>
          <w:szCs w:val="16"/>
          <w:color w:val="auto"/>
        </w:rPr>
        <w:t>Since 1998, Gentex Corporation has contracted with MITO Corporation in the ordinary course of business to sell several of its most popular automatic-dimming mirrors directly to consumers in the automotive aftermarket; in addition, the Company currently sells some auto-dimming mirrors to automotive distributors. In 2008, the Company announced that its RCD Mirror is available through MITO Corporation as well. It is management’s belief that these sales have limited potential until the Company achieves a significantly higher penetration of the OEM market.</w:t>
      </w:r>
    </w:p>
    <w:p>
      <w:pPr>
        <w:spacing w:after="0" w:line="129" w:lineRule="exact"/>
        <w:rPr>
          <w:sz w:val="20"/>
          <w:szCs w:val="20"/>
          <w:color w:val="auto"/>
        </w:rPr>
      </w:pPr>
    </w:p>
    <w:p>
      <w:pPr>
        <w:ind w:left="280" w:right="1679"/>
        <w:spacing w:after="0" w:line="243" w:lineRule="auto"/>
        <w:rPr>
          <w:sz w:val="20"/>
          <w:szCs w:val="20"/>
          <w:color w:val="auto"/>
        </w:rPr>
      </w:pPr>
      <w:r>
        <w:rPr>
          <w:rFonts w:ascii="Arial" w:cs="Arial" w:eastAsia="Arial" w:hAnsi="Arial"/>
          <w:sz w:val="16"/>
          <w:szCs w:val="16"/>
          <w:i w:val="1"/>
          <w:iCs w:val="1"/>
          <w:u w:val="single" w:color="auto"/>
          <w:color w:val="auto"/>
        </w:rPr>
        <w:t>Automotive Mirrors Competition</w:t>
      </w:r>
      <w:r>
        <w:rPr>
          <w:rFonts w:ascii="Arial" w:cs="Arial" w:eastAsia="Arial" w:hAnsi="Arial"/>
          <w:sz w:val="16"/>
          <w:szCs w:val="16"/>
          <w:color w:val="auto"/>
        </w:rPr>
        <w:t>. The Company continues to be the leading producer of auto-dimming rearview</w:t>
      </w:r>
      <w:r>
        <w:rPr>
          <w:rFonts w:ascii="Arial" w:cs="Arial" w:eastAsia="Arial" w:hAnsi="Arial"/>
          <w:sz w:val="16"/>
          <w:szCs w:val="16"/>
          <w:i w:val="1"/>
          <w:iCs w:val="1"/>
          <w:color w:val="auto"/>
        </w:rPr>
        <w:t xml:space="preserve"> </w:t>
      </w:r>
      <w:r>
        <w:rPr>
          <w:rFonts w:ascii="Arial" w:cs="Arial" w:eastAsia="Arial" w:hAnsi="Arial"/>
          <w:sz w:val="16"/>
          <w:szCs w:val="16"/>
          <w:color w:val="auto"/>
        </w:rPr>
        <w:t>mirrors in the world and currently is the dominant supplier to the automotive industry with an approximate 83% market share worldwide in 2009 and 2008. While the Company believes it will retain a dominant position in auto-dimming rearview mirrors for some time, one other U.S. manufacturer (Magna Mirrors) is competing for sales to domestic and foreign vehicle manufacturers and is supplying a number of domestic and foreign vehicle models with its hybrid or solid polymer matrix versions of electrochromic mirrors. In addition, two Japanese manufacturers are currently supplying a few vehicle models in Japan with solid-state electrochromic mirrors.</w:t>
      </w:r>
    </w:p>
    <w:p>
      <w:pPr>
        <w:spacing w:after="0" w:line="158" w:lineRule="exact"/>
        <w:rPr>
          <w:sz w:val="20"/>
          <w:szCs w:val="20"/>
          <w:color w:val="auto"/>
        </w:rPr>
      </w:pPr>
    </w:p>
    <w:p>
      <w:pPr>
        <w:ind w:left="280" w:right="1539"/>
        <w:spacing w:after="0" w:line="244" w:lineRule="auto"/>
        <w:rPr>
          <w:sz w:val="20"/>
          <w:szCs w:val="20"/>
          <w:color w:val="auto"/>
        </w:rPr>
      </w:pPr>
      <w:r>
        <w:rPr>
          <w:rFonts w:ascii="Arial" w:cs="Arial" w:eastAsia="Arial" w:hAnsi="Arial"/>
          <w:sz w:val="16"/>
          <w:szCs w:val="16"/>
          <w:color w:val="auto"/>
        </w:rPr>
        <w:t>On October 1, 2002, Magna International acquired Donnelly Corporation, which was the Company’s major competitor for sales of automatic-dimming rearview mirrors to domestic and foreign vehicle manufacturers and their mirror suppliers. The Company continues to sell certain automatic-dimming rearview mirror sub-assemblies to Magna.</w:t>
      </w:r>
    </w:p>
    <w:p>
      <w:pPr>
        <w:spacing w:after="0" w:line="144" w:lineRule="exact"/>
        <w:rPr>
          <w:sz w:val="20"/>
          <w:szCs w:val="20"/>
          <w:color w:val="auto"/>
        </w:rPr>
      </w:pPr>
    </w:p>
    <w:p>
      <w:pPr>
        <w:ind w:left="280" w:right="1679"/>
        <w:spacing w:after="0"/>
        <w:rPr>
          <w:sz w:val="20"/>
          <w:szCs w:val="20"/>
          <w:color w:val="auto"/>
        </w:rPr>
      </w:pPr>
      <w:r>
        <w:rPr>
          <w:rFonts w:ascii="Arial" w:cs="Arial" w:eastAsia="Arial" w:hAnsi="Arial"/>
          <w:sz w:val="16"/>
          <w:szCs w:val="16"/>
          <w:color w:val="auto"/>
        </w:rPr>
        <w:t>The Company believes its electrochromic automatic mirrors and mirrors with advanced electronic features offer significant performance advantages over competing products. However, the Company recognizes that Magna Mirrors, a competitor and wholly-owned subsidiary of Magna International, is considerably larger than the Company and may present a more formidable competitive threat in the future. To date, the Company is not aware of any significant impact of Magna’s acquisition of Donnelly upon the Company; however, any ultimate significant impact is not known at this time.</w:t>
      </w:r>
    </w:p>
    <w:p>
      <w:pPr>
        <w:spacing w:after="0" w:line="148" w:lineRule="exact"/>
        <w:rPr>
          <w:sz w:val="20"/>
          <w:szCs w:val="20"/>
          <w:color w:val="auto"/>
        </w:rPr>
      </w:pPr>
    </w:p>
    <w:p>
      <w:pPr>
        <w:ind w:left="280" w:right="1719"/>
        <w:spacing w:after="0"/>
        <w:rPr>
          <w:sz w:val="20"/>
          <w:szCs w:val="20"/>
          <w:color w:val="auto"/>
        </w:rPr>
      </w:pPr>
      <w:r>
        <w:rPr>
          <w:rFonts w:ascii="Arial" w:cs="Arial" w:eastAsia="Arial" w:hAnsi="Arial"/>
          <w:sz w:val="16"/>
          <w:szCs w:val="16"/>
          <w:color w:val="auto"/>
        </w:rPr>
        <w:t>There are numerous other companies in the world conducting research on various technologies, including eletrochromics, for controlling light transmission and reflection. The Company currently believes that the electrochromic materials and manufacturing process it uses for automotive mirrors remains the most efficient and cost-effective way to produce such products. While automatic-dimming mirrors using other technologies may eliminate glare, the Company currently believes that each of these technologies have inherent cost or performance limitations as compared to our technologies.</w:t>
      </w:r>
    </w:p>
    <w:p>
      <w:pPr>
        <w:spacing w:after="0" w:line="160" w:lineRule="exact"/>
        <w:rPr>
          <w:sz w:val="20"/>
          <w:szCs w:val="20"/>
          <w:color w:val="auto"/>
        </w:rPr>
      </w:pPr>
    </w:p>
    <w:p>
      <w:pPr>
        <w:ind w:left="280" w:right="1539"/>
        <w:spacing w:after="0" w:line="239" w:lineRule="auto"/>
        <w:rPr>
          <w:sz w:val="20"/>
          <w:szCs w:val="20"/>
          <w:color w:val="auto"/>
        </w:rPr>
      </w:pPr>
      <w:r>
        <w:rPr>
          <w:rFonts w:ascii="Arial" w:cs="Arial" w:eastAsia="Arial" w:hAnsi="Arial"/>
          <w:sz w:val="16"/>
          <w:szCs w:val="16"/>
          <w:color w:val="auto"/>
        </w:rPr>
        <w:t>The Company’s RCD Mirror feature competes in the market place with backup sensors and other rear backup cameras (which could be in a mirror, navigation system or other LCD displays). The Company believes that its RCD Mirror is an optimum, ergonomic, easily adaptable method to display the output of a rear camera for increased safety. Ultrasonic sensors cost less but may be less effective. Any color display in a vehicle is relatively costly. When a color display is required for other features such as navigation, radio or other vehicle functions, then it may be less costly on a per-feature basis to display the output of the backup camera in that in-dash display, offering significant competition to the RCD Mirror. The long-term success of the RCD Mirror may depend on automakers willingness and desire to display other information in the RCD Mirror, driving down the per-feature cost.</w:t>
      </w:r>
    </w:p>
    <w:p>
      <w:pPr>
        <w:spacing w:after="0" w:line="200" w:lineRule="exact"/>
        <w:rPr>
          <w:sz w:val="20"/>
          <w:szCs w:val="20"/>
          <w:color w:val="auto"/>
        </w:rPr>
      </w:pPr>
    </w:p>
    <w:p>
      <w:pPr>
        <w:spacing w:after="0" w:line="290"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11" w:name="page12"/>
    <w:bookmarkEnd w:id="1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Fire Protection Products</w:t>
      </w:r>
    </w:p>
    <w:p>
      <w:pPr>
        <w:spacing w:after="0" w:line="188" w:lineRule="exact"/>
        <w:rPr>
          <w:sz w:val="20"/>
          <w:szCs w:val="20"/>
          <w:color w:val="auto"/>
        </w:rPr>
      </w:pPr>
    </w:p>
    <w:p>
      <w:pPr>
        <w:ind w:left="280" w:right="1559"/>
        <w:spacing w:after="0"/>
        <w:rPr>
          <w:sz w:val="20"/>
          <w:szCs w:val="20"/>
          <w:color w:val="auto"/>
        </w:rPr>
      </w:pPr>
      <w:r>
        <w:rPr>
          <w:rFonts w:ascii="Arial" w:cs="Arial" w:eastAsia="Arial" w:hAnsi="Arial"/>
          <w:sz w:val="16"/>
          <w:szCs w:val="16"/>
          <w:color w:val="auto"/>
        </w:rPr>
        <w:t>The Company manufactures approximately 60 different models of smoke alarms and smoke detectors, combined with over 150 different models of signaling appliances. All the smoke detectors/alarms operate on a photoelectric principle to detect smoke. While the use of photoelectric technology entails greater manufacturing costs, the Company believes that these detectors/alarms are superior in performance to competitive devices that operate through an ionization process, and are preferred in most commercial residential occupancies. Photoelectric detectors/alarms feature low light-level detection, while ionization detectors utilize an ionized atmosphere, the electrical conductivity of which varies with changes in the composition of the atmosphere. Photoelectric detectors/alarms are widely recognized to respond more quickly to slow, smoldering fires, a common form of dwelling unit fire and a frequent cause of fire-related deaths. In addition, photoelectric detectors are less prone to nuisance alarms and do not require the use of radioactive materials necessary for ionization detectors. Photoelectric smoke detectors/alarms are now being required by over a dozen major cities, over a dozen states, as well as regional and national building and fire alarm codes.</w:t>
      </w:r>
    </w:p>
    <w:p>
      <w:pPr>
        <w:spacing w:after="0" w:line="31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In 2009, the Company announced the development and subsequent UL listing of its first Carbon Monoxide</w:t>
      </w:r>
    </w:p>
    <w:p>
      <w:pPr>
        <w:ind w:left="280" w:right="1739"/>
        <w:spacing w:after="0"/>
        <w:rPr>
          <w:sz w:val="20"/>
          <w:szCs w:val="20"/>
          <w:color w:val="auto"/>
        </w:rPr>
      </w:pPr>
      <w:r>
        <w:rPr>
          <w:rFonts w:ascii="Arial" w:cs="Arial" w:eastAsia="Arial" w:hAnsi="Arial"/>
          <w:sz w:val="16"/>
          <w:szCs w:val="16"/>
          <w:color w:val="auto"/>
        </w:rPr>
        <w:t>(CO) Alarm as well as an alarm that combines both CO and smoke alarm sensing technology into one unit. These products are designed primarily for applications such as hotels, motels, hospitals, college dormitories and nursing homes. The alarm utilizes photoelectric smoke sensing technology and an established CO sensing technology to deliver both smoke and CO protection in one unit. The new products are in compliance with Underwriters Laboratories (UL) 2034, UL217, and National Fire Protection Association 72 and 720. The new product comes at a time when over twenty states are currently mandating CO detection in residential occupancies.</w:t>
      </w:r>
    </w:p>
    <w:p>
      <w:pPr>
        <w:spacing w:after="0" w:line="148" w:lineRule="exact"/>
        <w:rPr>
          <w:sz w:val="20"/>
          <w:szCs w:val="20"/>
          <w:color w:val="auto"/>
        </w:rPr>
      </w:pPr>
    </w:p>
    <w:p>
      <w:pPr>
        <w:ind w:left="280" w:right="1539"/>
        <w:spacing w:after="0"/>
        <w:rPr>
          <w:sz w:val="20"/>
          <w:szCs w:val="20"/>
          <w:color w:val="auto"/>
        </w:rPr>
      </w:pPr>
      <w:r>
        <w:rPr>
          <w:rFonts w:ascii="Arial" w:cs="Arial" w:eastAsia="Arial" w:hAnsi="Arial"/>
          <w:sz w:val="16"/>
          <w:szCs w:val="16"/>
          <w:color w:val="auto"/>
        </w:rPr>
        <w:t>The Company’s fire protection products provide the flexibility to be wired as part of multiple-function systems and consequently are generally used in fire detection systems common to large office buildings, hotels, motels, military bases, college dormitories and other commercial establishments. However, the Company also offers single-station alarms for both commercial and residential applications. While the Company does not emphasize the residential market, some of its fire protection products are used in single-family residences that utilize fire protection and security systems. The Company’s detectors emit audible and/or visual signals in the immediate location of the device, and certain models are able to communicate with monitored remote stations.</w:t>
      </w:r>
    </w:p>
    <w:p>
      <w:pPr>
        <w:spacing w:after="0" w:line="158" w:lineRule="exact"/>
        <w:rPr>
          <w:sz w:val="20"/>
          <w:szCs w:val="20"/>
          <w:color w:val="auto"/>
        </w:rPr>
      </w:pPr>
    </w:p>
    <w:p>
      <w:pPr>
        <w:ind w:left="280" w:right="1559"/>
        <w:spacing w:after="0" w:line="241" w:lineRule="auto"/>
        <w:rPr>
          <w:sz w:val="20"/>
          <w:szCs w:val="20"/>
          <w:color w:val="auto"/>
        </w:rPr>
      </w:pPr>
      <w:r>
        <w:rPr>
          <w:rFonts w:ascii="Arial" w:cs="Arial" w:eastAsia="Arial" w:hAnsi="Arial"/>
          <w:sz w:val="16"/>
          <w:szCs w:val="16"/>
          <w:color w:val="auto"/>
        </w:rPr>
        <w:t>In 2005, the Company received Underwriters Laboratory (UL) listing on a series of commercial residential smoke alarms. The Company continues to believe this product fits well into new markets and customers. This series of smoke alarms consists of four models and is electrically powered or electrically powered with battery back-up. Also in 2005, the Company received UL listing for a new line of speaker strobes for commercial occupancies. This speaker series meets the requirements found on the national codes.</w:t>
      </w:r>
    </w:p>
    <w:p>
      <w:pPr>
        <w:spacing w:after="0" w:line="129" w:lineRule="exact"/>
        <w:rPr>
          <w:sz w:val="20"/>
          <w:szCs w:val="20"/>
          <w:color w:val="auto"/>
        </w:rPr>
      </w:pPr>
    </w:p>
    <w:p>
      <w:pPr>
        <w:ind w:left="280" w:right="1819"/>
        <w:spacing w:after="0" w:line="244" w:lineRule="auto"/>
        <w:rPr>
          <w:sz w:val="20"/>
          <w:szCs w:val="20"/>
          <w:color w:val="auto"/>
        </w:rPr>
      </w:pPr>
      <w:r>
        <w:rPr>
          <w:rFonts w:ascii="Arial" w:cs="Arial" w:eastAsia="Arial" w:hAnsi="Arial"/>
          <w:sz w:val="16"/>
          <w:szCs w:val="16"/>
          <w:i w:val="1"/>
          <w:iCs w:val="1"/>
          <w:u w:val="single" w:color="auto"/>
          <w:color w:val="auto"/>
        </w:rPr>
        <w:t>Markets and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fire protection products are sold directly to fire protection and security</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distributors under the Company’s brand name, to electrical wholesale houses, and to original equipment manufacturers of fire protection systems under both the Company’s brand name and private labels. The fire protection and security industries continue to experience a significant number of mergers and consolidations. The Company markets its fire protection products globally through regional sales managers and manufacturer representative organizations.</w:t>
      </w:r>
    </w:p>
    <w:p>
      <w:pPr>
        <w:spacing w:after="0" w:line="129" w:lineRule="exact"/>
        <w:rPr>
          <w:sz w:val="20"/>
          <w:szCs w:val="20"/>
          <w:color w:val="auto"/>
        </w:rPr>
      </w:pPr>
    </w:p>
    <w:p>
      <w:pPr>
        <w:ind w:left="280" w:right="1639"/>
        <w:spacing w:after="0" w:line="242" w:lineRule="auto"/>
        <w:rPr>
          <w:sz w:val="20"/>
          <w:szCs w:val="20"/>
          <w:color w:val="auto"/>
        </w:rPr>
      </w:pPr>
      <w:r>
        <w:rPr>
          <w:rFonts w:ascii="Arial" w:cs="Arial" w:eastAsia="Arial" w:hAnsi="Arial"/>
          <w:sz w:val="16"/>
          <w:szCs w:val="16"/>
          <w:i w:val="1"/>
          <w:iCs w:val="1"/>
          <w:u w:val="single" w:color="auto"/>
          <w:color w:val="auto"/>
        </w:rPr>
        <w:t>Competition.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fire protection products industry is highly competitive in terms of both the smoke detectors and</w:t>
      </w:r>
      <w:r>
        <w:rPr>
          <w:rFonts w:ascii="Arial" w:cs="Arial" w:eastAsia="Arial" w:hAnsi="Arial"/>
          <w:sz w:val="16"/>
          <w:szCs w:val="16"/>
          <w:i w:val="1"/>
          <w:iCs w:val="1"/>
          <w:color w:val="auto"/>
        </w:rPr>
        <w:t xml:space="preserve"> </w:t>
      </w:r>
      <w:r>
        <w:rPr>
          <w:rFonts w:ascii="Arial" w:cs="Arial" w:eastAsia="Arial" w:hAnsi="Arial"/>
          <w:sz w:val="16"/>
          <w:szCs w:val="16"/>
          <w:color w:val="auto"/>
        </w:rPr>
        <w:t>signaling appliance markets. The Company estimates that it competes principally with eleven manufacturers of smoke detection products for commercial use and approximately four manufacturers within the residential market, three of which produce photoelectric smoke detectors. In the signaling appliance markets, the Company estimates it competes with approximately eight manufacturers. While the Company faces significant competition in the sale of smoke detectors and signaling appliances, it believes that the introduction of new products, improvements to its existing products, its diversified product line, and the availability of special features will permit the Company to maintain its competitive position.</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Dimmable Aircraft Windows</w:t>
      </w:r>
    </w:p>
    <w:p>
      <w:pPr>
        <w:spacing w:after="0" w:line="176" w:lineRule="exact"/>
        <w:rPr>
          <w:sz w:val="20"/>
          <w:szCs w:val="20"/>
          <w:color w:val="auto"/>
        </w:rPr>
      </w:pPr>
    </w:p>
    <w:p>
      <w:pPr>
        <w:ind w:left="280" w:right="1559"/>
        <w:spacing w:after="0" w:line="239" w:lineRule="auto"/>
        <w:rPr>
          <w:sz w:val="20"/>
          <w:szCs w:val="20"/>
          <w:color w:val="auto"/>
        </w:rPr>
      </w:pPr>
      <w:r>
        <w:rPr>
          <w:rFonts w:ascii="Arial" w:cs="Arial" w:eastAsia="Arial" w:hAnsi="Arial"/>
          <w:sz w:val="16"/>
          <w:szCs w:val="16"/>
          <w:color w:val="auto"/>
        </w:rPr>
        <w:t>During 2005, the Company reached an agreement with PPG Aerospace to work together to provide variably dimmable windows for the passenger compartment on the new Boeing 787 Dreamliner series of aircraft. The Company will ship about 100 windows for the passenger compartment of each 787. The Company believes that the commercially viable market for variably dimmable windows is currently limited to the aerospace industry. The Company began shipping parts for test planes in mid 2007. Based on the latest information available, Boeing now expects the first delivery of the 787 Dreamliner Series of aircraft to occur in late 2010. Delays were due to the impact of the machinists’ strike, fastener replacement work, and production issues due to complexity, which did not relate to the Company’s product. The Company anticipates that it will begin to deliver our windows to the production line in the first half of 2010. During 2008, the Company and PPG Aerospace announced that they will work together to supply dimmable windows to Hawker Beechcraft Corporation for the passenger cabin windows of the 2010 Beechcraft King Air 350i airplane. The Company began shipping parts for the King Air 350i airplane in mid-2009 in low volume.</w:t>
      </w:r>
    </w:p>
    <w:p>
      <w:pPr>
        <w:spacing w:after="0" w:line="200" w:lineRule="exact"/>
        <w:rPr>
          <w:sz w:val="20"/>
          <w:szCs w:val="20"/>
          <w:color w:val="auto"/>
        </w:rPr>
      </w:pPr>
    </w:p>
    <w:p>
      <w:pPr>
        <w:spacing w:after="0" w:line="300" w:lineRule="exact"/>
        <w:rPr>
          <w:sz w:val="20"/>
          <w:szCs w:val="20"/>
          <w:color w:val="auto"/>
        </w:rPr>
      </w:pPr>
    </w:p>
    <w:p>
      <w:pPr>
        <w:ind w:left="4340"/>
        <w:spacing w:after="0"/>
        <w:rPr>
          <w:sz w:val="20"/>
          <w:szCs w:val="20"/>
          <w:color w:val="auto"/>
        </w:rPr>
      </w:pPr>
      <w:r>
        <w:rPr>
          <w:rFonts w:ascii="Arial" w:cs="Arial" w:eastAsia="Arial" w:hAnsi="Arial"/>
          <w:sz w:val="16"/>
          <w:szCs w:val="16"/>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280" w:right="1639"/>
        <w:spacing w:after="0"/>
        <w:rPr>
          <w:sz w:val="20"/>
          <w:szCs w:val="20"/>
          <w:color w:val="auto"/>
        </w:rPr>
      </w:pPr>
      <w:r>
        <w:rPr>
          <w:rFonts w:ascii="Arial" w:cs="Arial" w:eastAsia="Arial" w:hAnsi="Arial"/>
          <w:sz w:val="16"/>
          <w:szCs w:val="16"/>
          <w:color w:val="auto"/>
        </w:rPr>
        <w:t>The Company’s success with electrochromic technology provides potential opportunities for other commercial applications, which the Company expects to explore in the future when and as the Company feels it is in its best interests to do so. Examples of possible applications of electrochromic technology include windows for the automotive, architectural and aerospace markets. Progress in adapting electrochromic technology to the specialized requirements of the window market continued in 2009. However, we believe that a commercial architectural window product will still require several years of additional engineering and intellectual property development work.</w:t>
      </w:r>
    </w:p>
    <w:p>
      <w:pPr>
        <w:spacing w:after="0" w:line="144" w:lineRule="exact"/>
        <w:rPr>
          <w:sz w:val="20"/>
          <w:szCs w:val="20"/>
          <w:color w:val="auto"/>
        </w:rPr>
      </w:pPr>
    </w:p>
    <w:p>
      <w:pPr>
        <w:ind w:left="280" w:right="2459"/>
        <w:spacing w:after="0" w:line="272" w:lineRule="auto"/>
        <w:rPr>
          <w:sz w:val="20"/>
          <w:szCs w:val="20"/>
          <w:color w:val="auto"/>
        </w:rPr>
      </w:pPr>
      <w:r>
        <w:rPr>
          <w:rFonts w:ascii="Arial" w:cs="Arial" w:eastAsia="Arial" w:hAnsi="Arial"/>
          <w:sz w:val="16"/>
          <w:szCs w:val="16"/>
          <w:i w:val="1"/>
          <w:iCs w:val="1"/>
          <w:u w:val="single" w:color="auto"/>
          <w:color w:val="auto"/>
        </w:rPr>
        <w:t>Markets and Marketing.</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jointly markets and sells its variable dimmable windows to aircraft</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with PPG Aerospace.</w:t>
      </w:r>
    </w:p>
    <w:p>
      <w:pPr>
        <w:spacing w:after="0" w:line="105" w:lineRule="exact"/>
        <w:rPr>
          <w:sz w:val="20"/>
          <w:szCs w:val="20"/>
          <w:color w:val="auto"/>
        </w:rPr>
      </w:pPr>
    </w:p>
    <w:p>
      <w:pPr>
        <w:jc w:val="both"/>
        <w:ind w:left="280" w:right="1859"/>
        <w:spacing w:after="0" w:line="255" w:lineRule="auto"/>
        <w:rPr>
          <w:sz w:val="20"/>
          <w:szCs w:val="20"/>
          <w:color w:val="auto"/>
        </w:rPr>
      </w:pPr>
      <w:r>
        <w:rPr>
          <w:rFonts w:ascii="Arial" w:cs="Arial" w:eastAsia="Arial" w:hAnsi="Arial"/>
          <w:sz w:val="16"/>
          <w:szCs w:val="16"/>
          <w:i w:val="1"/>
          <w:iCs w:val="1"/>
          <w:u w:val="single" w:color="auto"/>
          <w:color w:val="auto"/>
        </w:rPr>
        <w:t>Competition.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variable dimmable aircraft windows are the first commercialized product for original</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installation in the aircraft industry. Other manufacturers are attempting to develop competing products utilizing other technology in the aircraft industry for aftermarket or original equipment installation.</w:t>
      </w:r>
    </w:p>
    <w:p>
      <w:pPr>
        <w:spacing w:after="0" w:line="114"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Trademarks and Patents</w:t>
      </w:r>
    </w:p>
    <w:p>
      <w:pPr>
        <w:spacing w:after="0" w:line="188" w:lineRule="exact"/>
        <w:rPr>
          <w:sz w:val="20"/>
          <w:szCs w:val="20"/>
          <w:color w:val="auto"/>
        </w:rPr>
      </w:pPr>
    </w:p>
    <w:p>
      <w:pPr>
        <w:ind w:left="280" w:right="1579"/>
        <w:spacing w:after="0" w:line="241" w:lineRule="auto"/>
        <w:rPr>
          <w:sz w:val="20"/>
          <w:szCs w:val="20"/>
          <w:color w:val="auto"/>
        </w:rPr>
      </w:pPr>
      <w:r>
        <w:rPr>
          <w:rFonts w:ascii="Arial" w:cs="Arial" w:eastAsia="Arial" w:hAnsi="Arial"/>
          <w:sz w:val="16"/>
          <w:szCs w:val="16"/>
          <w:color w:val="auto"/>
        </w:rPr>
        <w:t>The Company owns 20 U.S. trademarks and 326 U.S. patents, 321 of which relate to electrochromic technology, automotive rearview mirrors, microphones, displays and/or sensor technology. These patents expire between 2010 and 2028. The Company believes that these patents provide the Company a significant competitive advantage in the automotive rearview mirror market; however, none of these patents individually is required for the success of the Company’s products.</w:t>
      </w:r>
    </w:p>
    <w:p>
      <w:pPr>
        <w:spacing w:after="0" w:line="145" w:lineRule="exact"/>
        <w:rPr>
          <w:sz w:val="20"/>
          <w:szCs w:val="20"/>
          <w:color w:val="auto"/>
        </w:rPr>
      </w:pPr>
    </w:p>
    <w:p>
      <w:pPr>
        <w:ind w:left="280" w:right="1559"/>
        <w:spacing w:after="0" w:line="242" w:lineRule="auto"/>
        <w:rPr>
          <w:sz w:val="20"/>
          <w:szCs w:val="20"/>
          <w:color w:val="auto"/>
        </w:rPr>
      </w:pPr>
      <w:r>
        <w:rPr>
          <w:rFonts w:ascii="Arial" w:cs="Arial" w:eastAsia="Arial" w:hAnsi="Arial"/>
          <w:sz w:val="16"/>
          <w:szCs w:val="16"/>
          <w:color w:val="auto"/>
        </w:rPr>
        <w:t>The Company also owns 47 foreign trademarks and 208 foreign patents, 202 of which relate to electrochromic technology, automotive rearview mirrors, microphones, displays and/or sensor technology. These patents expire at various times between 2010 and 2026. The Company believes that the competitive advantage derived in the relevant foreign markets for these patents is comparable to that experienced in the U.S. market.</w:t>
      </w:r>
    </w:p>
    <w:p>
      <w:pPr>
        <w:spacing w:after="0" w:line="145" w:lineRule="exact"/>
        <w:rPr>
          <w:sz w:val="20"/>
          <w:szCs w:val="20"/>
          <w:color w:val="auto"/>
        </w:rPr>
      </w:pPr>
    </w:p>
    <w:p>
      <w:pPr>
        <w:ind w:left="280" w:right="1639"/>
        <w:spacing w:after="0" w:line="251" w:lineRule="auto"/>
        <w:rPr>
          <w:sz w:val="20"/>
          <w:szCs w:val="20"/>
          <w:color w:val="auto"/>
        </w:rPr>
      </w:pPr>
      <w:r>
        <w:rPr>
          <w:rFonts w:ascii="Arial" w:cs="Arial" w:eastAsia="Arial" w:hAnsi="Arial"/>
          <w:sz w:val="16"/>
          <w:szCs w:val="16"/>
          <w:color w:val="auto"/>
        </w:rPr>
        <w:t>The Company owns 12 U.S. patents and 3 foreign patents that relate to the Company’s fire protection products, and the Company believes that the competitive advantage provided by these patents is relatively small.</w:t>
      </w:r>
    </w:p>
    <w:p>
      <w:pPr>
        <w:spacing w:after="0" w:line="150" w:lineRule="exact"/>
        <w:rPr>
          <w:sz w:val="20"/>
          <w:szCs w:val="20"/>
          <w:color w:val="auto"/>
        </w:rPr>
      </w:pPr>
    </w:p>
    <w:p>
      <w:pPr>
        <w:jc w:val="both"/>
        <w:ind w:left="280" w:right="1959"/>
        <w:spacing w:after="0" w:line="244" w:lineRule="auto"/>
        <w:rPr>
          <w:sz w:val="20"/>
          <w:szCs w:val="20"/>
          <w:color w:val="auto"/>
        </w:rPr>
      </w:pPr>
      <w:r>
        <w:rPr>
          <w:rFonts w:ascii="Arial" w:cs="Arial" w:eastAsia="Arial" w:hAnsi="Arial"/>
          <w:sz w:val="16"/>
          <w:szCs w:val="16"/>
          <w:color w:val="auto"/>
        </w:rPr>
        <w:t>The Company’s remaining 15 U.S. patents and remaining 1 foreign patent owned by the Company relate to the Company’s variable dimmable windows, and the Company believes that the competitive advantage provided by these patents is relatively small.</w:t>
      </w:r>
    </w:p>
    <w:p>
      <w:pPr>
        <w:spacing w:after="0" w:line="144" w:lineRule="exact"/>
        <w:rPr>
          <w:sz w:val="20"/>
          <w:szCs w:val="20"/>
          <w:color w:val="auto"/>
        </w:rPr>
      </w:pPr>
    </w:p>
    <w:p>
      <w:pPr>
        <w:ind w:left="280" w:right="1539"/>
        <w:spacing w:after="0" w:line="242" w:lineRule="auto"/>
        <w:rPr>
          <w:sz w:val="20"/>
          <w:szCs w:val="20"/>
          <w:color w:val="auto"/>
        </w:rPr>
      </w:pPr>
      <w:r>
        <w:rPr>
          <w:rFonts w:ascii="Arial" w:cs="Arial" w:eastAsia="Arial" w:hAnsi="Arial"/>
          <w:sz w:val="16"/>
          <w:szCs w:val="16"/>
          <w:color w:val="auto"/>
        </w:rPr>
        <w:t>The Company also has in process 131 U.S. patent applications, 277 foreign patent applications, and 24 trademark applications. The Company continuously seeks to improve its core technologies and apply those technologies to new and existing products. As those efforts produce patentable inventions, the Company expects to file appropriate patent applications.</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Miscellaneous</w:t>
      </w:r>
    </w:p>
    <w:p>
      <w:pPr>
        <w:spacing w:after="0" w:line="188" w:lineRule="exact"/>
        <w:rPr>
          <w:sz w:val="20"/>
          <w:szCs w:val="20"/>
          <w:color w:val="auto"/>
        </w:rPr>
      </w:pPr>
    </w:p>
    <w:p>
      <w:pPr>
        <w:ind w:left="280" w:right="1559"/>
        <w:spacing w:after="0" w:line="239" w:lineRule="auto"/>
        <w:rPr>
          <w:sz w:val="20"/>
          <w:szCs w:val="20"/>
          <w:color w:val="auto"/>
        </w:rPr>
      </w:pPr>
      <w:r>
        <w:rPr>
          <w:rFonts w:ascii="Arial" w:cs="Arial" w:eastAsia="Arial" w:hAnsi="Arial"/>
          <w:sz w:val="16"/>
          <w:szCs w:val="16"/>
          <w:color w:val="auto"/>
        </w:rPr>
        <w:t>The Company considers itself to be engaged in the manufacture and sale of automatic-dimming rearview mirrors and non- automatic-dimming rearview mirrors for the automotive industry, fire protection products for the commercial building industry and variable dimmable windows for the aircraft industry. The Company has several important customers within the automotive industry, six of which each account for 10% or more of the Company’s annual sales (includes direct sales to OEM customer and sales through their Tier 1 suppliers): Toyota Motor Corporation, Volkswagen/Audi, General Motors Corporation, Daimler AG, Ford and BMW. The loss of any of these customers could have a material adverse effect on the Company. The Company’s backlog of unshipped orders was $184,350,730 and $114,086,978 at February 1, 2010, and 2009, respectively.</w:t>
      </w:r>
    </w:p>
    <w:p>
      <w:pPr>
        <w:spacing w:after="0" w:line="200" w:lineRule="exact"/>
        <w:rPr>
          <w:sz w:val="20"/>
          <w:szCs w:val="20"/>
          <w:color w:val="auto"/>
        </w:rPr>
      </w:pPr>
    </w:p>
    <w:p>
      <w:pPr>
        <w:spacing w:after="0" w:line="290"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13" w:name="page14"/>
    <w:bookmarkEnd w:id="13"/>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280" w:right="1759"/>
        <w:spacing w:after="0" w:line="244" w:lineRule="auto"/>
        <w:rPr>
          <w:sz w:val="20"/>
          <w:szCs w:val="20"/>
          <w:color w:val="auto"/>
        </w:rPr>
      </w:pPr>
      <w:r>
        <w:rPr>
          <w:rFonts w:ascii="Arial" w:cs="Arial" w:eastAsia="Arial" w:hAnsi="Arial"/>
          <w:sz w:val="16"/>
          <w:szCs w:val="16"/>
          <w:color w:val="auto"/>
        </w:rPr>
        <w:t>At February 1, 2010, the Company had 2,371 full-time employees. None of the Company’s employees are represented by a labor union or other collective bargaining representative. The Company believes that its relations with its employees are good.</w:t>
      </w:r>
    </w:p>
    <w:p>
      <w:pPr>
        <w:spacing w:after="0" w:line="136" w:lineRule="exact"/>
        <w:rPr>
          <w:sz w:val="20"/>
          <w:szCs w:val="20"/>
          <w:color w:val="auto"/>
        </w:rPr>
      </w:pPr>
    </w:p>
    <w:p>
      <w:pPr>
        <w:ind w:left="600" w:hanging="311"/>
        <w:spacing w:after="0"/>
        <w:tabs>
          <w:tab w:leader="none" w:pos="60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Financial Information About Geographic Areas.</w:t>
      </w:r>
    </w:p>
    <w:p>
      <w:pPr>
        <w:spacing w:after="0" w:line="164" w:lineRule="exact"/>
        <w:rPr>
          <w:rFonts w:ascii="Arial" w:cs="Arial" w:eastAsia="Arial" w:hAnsi="Arial"/>
          <w:sz w:val="16"/>
          <w:szCs w:val="16"/>
          <w:b w:val="1"/>
          <w:bCs w:val="1"/>
          <w:color w:val="auto"/>
        </w:rPr>
      </w:pPr>
    </w:p>
    <w:p>
      <w:pPr>
        <w:ind w:left="600" w:right="1599"/>
        <w:spacing w:after="0" w:line="251" w:lineRule="auto"/>
        <w:rPr>
          <w:rFonts w:ascii="Arial" w:cs="Arial" w:eastAsia="Arial" w:hAnsi="Arial"/>
          <w:sz w:val="16"/>
          <w:szCs w:val="16"/>
          <w:b w:val="1"/>
          <w:bCs w:val="1"/>
          <w:color w:val="auto"/>
        </w:rPr>
      </w:pPr>
      <w:r>
        <w:rPr>
          <w:rFonts w:ascii="Arial" w:cs="Arial" w:eastAsia="Arial" w:hAnsi="Arial"/>
          <w:sz w:val="16"/>
          <w:szCs w:val="16"/>
          <w:color w:val="auto"/>
        </w:rPr>
        <w:t>See “Markets and Marketing” in Narrative Description of Business (Item 1(c)) and footnote 8 to the Consolidated Financial Statements for certain information regarding geographic areas.</w:t>
      </w:r>
    </w:p>
    <w:p>
      <w:pPr>
        <w:spacing w:after="0" w:line="105" w:lineRule="exact"/>
        <w:rPr>
          <w:rFonts w:ascii="Arial" w:cs="Arial" w:eastAsia="Arial" w:hAnsi="Arial"/>
          <w:sz w:val="16"/>
          <w:szCs w:val="16"/>
          <w:b w:val="1"/>
          <w:bCs w:val="1"/>
          <w:color w:val="auto"/>
        </w:rPr>
      </w:pPr>
    </w:p>
    <w:p>
      <w:pPr>
        <w:ind w:left="600" w:hanging="311"/>
        <w:spacing w:after="0"/>
        <w:tabs>
          <w:tab w:leader="none" w:pos="60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Available Information.</w:t>
      </w:r>
    </w:p>
    <w:p>
      <w:pPr>
        <w:spacing w:after="0" w:line="164" w:lineRule="exact"/>
        <w:rPr>
          <w:rFonts w:ascii="Arial" w:cs="Arial" w:eastAsia="Arial" w:hAnsi="Arial"/>
          <w:sz w:val="16"/>
          <w:szCs w:val="16"/>
          <w:b w:val="1"/>
          <w:bCs w:val="1"/>
          <w:color w:val="auto"/>
        </w:rPr>
      </w:pPr>
    </w:p>
    <w:p>
      <w:pPr>
        <w:ind w:left="600" w:right="1579"/>
        <w:spacing w:after="0"/>
        <w:rPr>
          <w:rFonts w:ascii="Arial" w:cs="Arial" w:eastAsia="Arial" w:hAnsi="Arial"/>
          <w:sz w:val="16"/>
          <w:szCs w:val="16"/>
          <w:b w:val="1"/>
          <w:bCs w:val="1"/>
          <w:color w:val="auto"/>
        </w:rPr>
      </w:pPr>
      <w:r>
        <w:rPr>
          <w:rFonts w:ascii="Arial" w:cs="Arial" w:eastAsia="Arial" w:hAnsi="Arial"/>
          <w:sz w:val="16"/>
          <w:szCs w:val="16"/>
          <w:color w:val="auto"/>
        </w:rPr>
        <w:t>The Company’s annual report on Form 10-K, quarterly reports on Form 10-Q, current reports on Form 8-K, and all amendments to those reports, will be made available, free of charge, through the Investor Information section of the Company’s Internet website (</w:t>
      </w:r>
      <w:r>
        <w:rPr>
          <w:rFonts w:ascii="Arial" w:cs="Arial" w:eastAsia="Arial" w:hAnsi="Arial"/>
          <w:sz w:val="16"/>
          <w:szCs w:val="16"/>
          <w:u w:val="single" w:color="auto"/>
          <w:color w:val="auto"/>
        </w:rPr>
        <w:t>http://www.gentex.com</w:t>
      </w:r>
      <w:r>
        <w:rPr>
          <w:rFonts w:ascii="Arial" w:cs="Arial" w:eastAsia="Arial" w:hAnsi="Arial"/>
          <w:sz w:val="16"/>
          <w:szCs w:val="16"/>
          <w:color w:val="auto"/>
        </w:rPr>
        <w:t>) as soon as practicable after such material is electronically filed with or furnished to the Securities and Exchange Commission. The SEC maintains an internet website (</w:t>
      </w:r>
      <w:r>
        <w:rPr>
          <w:rFonts w:ascii="Arial" w:cs="Arial" w:eastAsia="Arial" w:hAnsi="Arial"/>
          <w:sz w:val="16"/>
          <w:szCs w:val="16"/>
          <w:u w:val="single" w:color="auto"/>
          <w:color w:val="auto"/>
        </w:rPr>
        <w:t>http://www.sec.gov</w:t>
      </w:r>
      <w:r>
        <w:rPr>
          <w:rFonts w:ascii="Arial" w:cs="Arial" w:eastAsia="Arial" w:hAnsi="Arial"/>
          <w:sz w:val="16"/>
          <w:szCs w:val="16"/>
          <w:color w:val="auto"/>
        </w:rPr>
        <w:t>) that contains reports, proxy and information statements, and other information regarding issues that a company files electronically with the SEC.</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Item 1A. Risk Factors.</w:t>
      </w:r>
    </w:p>
    <w:p>
      <w:pPr>
        <w:spacing w:after="0" w:line="160" w:lineRule="exact"/>
        <w:rPr>
          <w:sz w:val="20"/>
          <w:szCs w:val="20"/>
          <w:color w:val="auto"/>
        </w:rPr>
      </w:pPr>
    </w:p>
    <w:p>
      <w:pPr>
        <w:ind w:left="280" w:right="1559"/>
        <w:spacing w:after="0"/>
        <w:rPr>
          <w:sz w:val="20"/>
          <w:szCs w:val="20"/>
          <w:color w:val="auto"/>
        </w:rPr>
      </w:pPr>
      <w:r>
        <w:rPr>
          <w:rFonts w:ascii="Arial" w:cs="Arial" w:eastAsia="Arial" w:hAnsi="Arial"/>
          <w:sz w:val="16"/>
          <w:szCs w:val="16"/>
          <w:i w:val="1"/>
          <w:iCs w:val="1"/>
          <w:u w:val="single" w:color="auto"/>
          <w:color w:val="auto"/>
        </w:rPr>
        <w:t>Safe Harbor for Forward-Looking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This Annual Report on Form 10-K contains forward-looking 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within the meaning of Section 27A of the Securities Act of 1933, as amended, and Section 21E of the Securities Exchange Act, as amended, that are based on management’s belief, assumptions, current expectations, estimates and projections about the global automotive industry, the economy, the ability to control and leverage fixed manufacturing overhead costs, unit shipment and revenue growth rates, the ability to control E,R&amp;D and S,G&amp;A expenses, gross margins and the Company itself. Words like “anticipates,” “believes,” “confident,” “estimates,” “expects,” “forecast,” “hopes,” “likely,” “plans,” “projects,” “optimistic” and “should,” and variations of such words and similar expressions identify forward-looking statements. These statements do not guarantee future performance and involve certain risks, uncertainties, and assumptions that are difficult to predict with regard to timing, expense, likelihood and degree of occurrence. These risks include, without limitation, employment and general economic conditions, worldwide automotive production, the maintenance of the Company’s market share, the ability to achieve purchasing cost reductions, competitive pricing pressures, currency fluctuations, interest rates, equity prices, the financial strength/stability of the Company’s customers (including their Tier 1 suppliers), supply chain disruptions, potential sale of OEM business segments or suppliers, potential additional customer (including their Tier 1 suppliers) bankruptcies, the mix of products purchased by customers, the ability to continue to make product innovations, the success of certain products (e.g. SmartBeam</w:t>
      </w:r>
      <w:r>
        <w:rPr>
          <w:rFonts w:ascii="Arial" w:cs="Arial" w:eastAsia="Arial" w:hAnsi="Arial"/>
          <w:sz w:val="13"/>
          <w:szCs w:val="13"/>
          <w:color w:val="auto"/>
        </w:rPr>
        <w:t>®</w:t>
      </w:r>
      <w:r>
        <w:rPr>
          <w:rFonts w:ascii="Arial" w:cs="Arial" w:eastAsia="Arial" w:hAnsi="Arial"/>
          <w:sz w:val="16"/>
          <w:szCs w:val="16"/>
          <w:color w:val="auto"/>
        </w:rPr>
        <w:t xml:space="preserve"> and Rear Camera Display Mirror), and other risks identified in the Company’s other filings with the Securities and Exchange Commission. Therefore, actual results and outcomes may materially differ from what is expressed or forecasted. Furthermore, the Company undertakes no obligation to update, amend, or clarify forward-looking statements, whether as a result of new information, future events, or otherwise.</w:t>
      </w:r>
    </w:p>
    <w:p>
      <w:pPr>
        <w:spacing w:after="0" w:line="336" w:lineRule="exact"/>
        <w:rPr>
          <w:sz w:val="20"/>
          <w:szCs w:val="20"/>
          <w:color w:val="auto"/>
        </w:rPr>
      </w:pPr>
    </w:p>
    <w:p>
      <w:pPr>
        <w:ind w:left="280" w:right="1619"/>
        <w:spacing w:after="0" w:line="251" w:lineRule="auto"/>
        <w:rPr>
          <w:sz w:val="20"/>
          <w:szCs w:val="20"/>
          <w:color w:val="auto"/>
        </w:rPr>
      </w:pPr>
      <w:r>
        <w:rPr>
          <w:rFonts w:ascii="Arial" w:cs="Arial" w:eastAsia="Arial" w:hAnsi="Arial"/>
          <w:sz w:val="16"/>
          <w:szCs w:val="16"/>
          <w:color w:val="auto"/>
        </w:rPr>
        <w:t>The following risk factors, together with all other information provided in this Annual Report on Form 10-K, should be carefully considered.</w:t>
      </w:r>
    </w:p>
    <w:p>
      <w:pPr>
        <w:spacing w:after="0" w:line="122" w:lineRule="exact"/>
        <w:rPr>
          <w:sz w:val="20"/>
          <w:szCs w:val="20"/>
          <w:color w:val="auto"/>
        </w:rPr>
      </w:pPr>
    </w:p>
    <w:p>
      <w:pPr>
        <w:ind w:left="280" w:right="1559"/>
        <w:spacing w:after="0"/>
        <w:rPr>
          <w:sz w:val="20"/>
          <w:szCs w:val="20"/>
          <w:color w:val="auto"/>
        </w:rPr>
      </w:pPr>
      <w:r>
        <w:rPr>
          <w:rFonts w:ascii="Arial" w:cs="Arial" w:eastAsia="Arial" w:hAnsi="Arial"/>
          <w:sz w:val="16"/>
          <w:szCs w:val="16"/>
          <w:i w:val="1"/>
          <w:iCs w:val="1"/>
          <w:u w:val="single" w:color="auto"/>
          <w:color w:val="auto"/>
        </w:rPr>
        <w:t>Automotive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97% of our net sales are to customers within the automotive industry. The current state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automotive industry has been well publicized and the auto industry has always been cyclical and highly impacted by levels of economic activity. The current environment (global recession, credit crisis, decline in consumer confidence, government loans to certain OEM’s that require certain conditions to be met) continues to be uncertain and continues to cause increased financial and production stresses evidenced by volatile production levels, supplier part shortages, customer and supplier bankruptcies, automotive plant shutdowns, commodity material cost increases, consumer preference shift to smaller vehicles due to fuel costs and environmental concerns where we have a lower penetration rate and lower content per vehicle. If additional automotive customers (including their Tier 1 suppliers) experience bankruptcies, work stoppages, strikes, part shortages, etc., it could disrupt our shipments to these customers, which could adversely affect our sales, margins, profitability and, as a result, our share price. Automakers continue to experience increased volatility and uncertainty in executing planned new programs which have, in some cases, resulted in cancellation or delays of new vehicle platforms, package reconfigurations and inaccurate volume forecasts. This volatility and uncertainty has made it more difficult for us to forecast future sales, effectively manage costs and utilize capital, engineering, research and development, and human resource investments.</w:t>
      </w:r>
    </w:p>
    <w:p>
      <w:pPr>
        <w:spacing w:after="0" w:line="150" w:lineRule="exact"/>
        <w:rPr>
          <w:sz w:val="20"/>
          <w:szCs w:val="20"/>
          <w:color w:val="auto"/>
        </w:rPr>
      </w:pPr>
    </w:p>
    <w:p>
      <w:pPr>
        <w:ind w:left="280" w:right="1639"/>
        <w:spacing w:after="0"/>
        <w:rPr>
          <w:sz w:val="20"/>
          <w:szCs w:val="20"/>
          <w:color w:val="auto"/>
        </w:rPr>
      </w:pPr>
      <w:r>
        <w:rPr>
          <w:rFonts w:ascii="Arial" w:cs="Arial" w:eastAsia="Arial" w:hAnsi="Arial"/>
          <w:sz w:val="16"/>
          <w:szCs w:val="16"/>
          <w:color w:val="auto"/>
        </w:rPr>
        <w:t>The global governmental vehicle stimulus programs, such as the “Cash for Clunkers” program in the United Stated, did not have a significant direct effect on our production levels in 2009, since the smaller vehicles that people were mostly purchasing were those that typically did not contain significant Gentex content. However, there may have been some indirect effect due to the increased showroom traffic that those programs created. While the governmental stimulus programs were in effect, automotive vehicle sales were temporarily higher than automotive production levels. Now that sales levels have decreased and the scenario has reversed, automakers, at some point, we believe, will need to adjust their production plans for the lower sales levels.</w:t>
      </w:r>
    </w:p>
    <w:p>
      <w:pPr>
        <w:spacing w:after="0" w:line="200" w:lineRule="exact"/>
        <w:rPr>
          <w:sz w:val="20"/>
          <w:szCs w:val="20"/>
          <w:color w:val="auto"/>
        </w:rPr>
      </w:pPr>
    </w:p>
    <w:p>
      <w:pPr>
        <w:spacing w:after="0" w:line="298"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7" w:lineRule="exact"/>
        <w:rPr>
          <w:sz w:val="20"/>
          <w:szCs w:val="20"/>
          <w:color w:val="auto"/>
        </w:rPr>
      </w:pPr>
    </w:p>
    <w:p>
      <w:pPr>
        <w:ind w:left="280" w:right="1559"/>
        <w:spacing w:after="0" w:line="241" w:lineRule="auto"/>
        <w:rPr>
          <w:sz w:val="20"/>
          <w:szCs w:val="20"/>
          <w:color w:val="auto"/>
        </w:rPr>
      </w:pPr>
      <w:r>
        <w:rPr>
          <w:rFonts w:ascii="Arial" w:cs="Arial" w:eastAsia="Arial" w:hAnsi="Arial"/>
          <w:sz w:val="16"/>
          <w:szCs w:val="16"/>
          <w:i w:val="1"/>
          <w:iCs w:val="1"/>
          <w:u w:val="single" w:color="auto"/>
          <w:color w:val="auto"/>
        </w:rPr>
        <w:t>Key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We have a number of large customers, including six automotive customers which each account for</w:t>
      </w:r>
      <w:r>
        <w:rPr>
          <w:rFonts w:ascii="Arial" w:cs="Arial" w:eastAsia="Arial" w:hAnsi="Arial"/>
          <w:sz w:val="16"/>
          <w:szCs w:val="16"/>
          <w:i w:val="1"/>
          <w:iCs w:val="1"/>
          <w:color w:val="auto"/>
        </w:rPr>
        <w:t xml:space="preserve"> </w:t>
      </w:r>
      <w:r>
        <w:rPr>
          <w:rFonts w:ascii="Arial" w:cs="Arial" w:eastAsia="Arial" w:hAnsi="Arial"/>
          <w:sz w:val="16"/>
          <w:szCs w:val="16"/>
          <w:color w:val="auto"/>
        </w:rPr>
        <w:t>10% or more of our annual net sales (includes direct sales to OEM customers and sales through their Tier 1 suppliers): Toyota Motor Corporation, Volkswagen/Audi, General Motors Corporation, Daimler AG, Ford and BMW. The loss of all or a substantial portion of the sales to, or decreases in production by, any of these customers (or certain other significant customers) would have a material adverse effect on our sales, margins, profitability and, as a result, our share price. Toyota Motor Corporation recently announced a number of vehicle recalls that will impact their production in the near term. The impact to Gentex will depend upon the length and depth of their production cuts resulting from the announced vehicle recalls. To date, the impact is not material. Effective October 1, 2003, General Motors Corporation began including a 30-day escape clause into its contracts in the event its suppliers are not competitive on pricing. Effective January 1, 2004, Ford Motor Company began imposing new contract terms, including the right to terminate a supplier contract for any or no reason.</w:t>
      </w:r>
    </w:p>
    <w:p>
      <w:pPr>
        <w:spacing w:after="0" w:line="143" w:lineRule="exact"/>
        <w:rPr>
          <w:sz w:val="20"/>
          <w:szCs w:val="20"/>
          <w:color w:val="auto"/>
        </w:rPr>
      </w:pPr>
    </w:p>
    <w:p>
      <w:pPr>
        <w:ind w:left="280" w:right="1699"/>
        <w:spacing w:after="0" w:line="243" w:lineRule="auto"/>
        <w:rPr>
          <w:sz w:val="20"/>
          <w:szCs w:val="20"/>
          <w:color w:val="auto"/>
        </w:rPr>
      </w:pPr>
      <w:r>
        <w:rPr>
          <w:rFonts w:ascii="Arial" w:cs="Arial" w:eastAsia="Arial" w:hAnsi="Arial"/>
          <w:sz w:val="16"/>
          <w:szCs w:val="16"/>
          <w:i w:val="1"/>
          <w:iCs w:val="1"/>
          <w:u w:val="single" w:color="auto"/>
          <w:color w:val="auto"/>
        </w:rPr>
        <w:t>Credit Risk.</w:t>
      </w:r>
      <w:r>
        <w:rPr>
          <w:rFonts w:ascii="Arial" w:cs="Arial" w:eastAsia="Arial" w:hAnsi="Arial"/>
          <w:sz w:val="16"/>
          <w:szCs w:val="16"/>
          <w:i w:val="1"/>
          <w:iCs w:val="1"/>
          <w:color w:val="auto"/>
        </w:rPr>
        <w:t xml:space="preserve"> </w:t>
      </w:r>
      <w:r>
        <w:rPr>
          <w:rFonts w:ascii="Arial" w:cs="Arial" w:eastAsia="Arial" w:hAnsi="Arial"/>
          <w:sz w:val="16"/>
          <w:szCs w:val="16"/>
          <w:color w:val="auto"/>
        </w:rPr>
        <w:t>In light of the continuing well publicized financial stresses within the worldwide automotive industry,</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automakers have filed for bankruptcy and other automakers and Tier 1 mirror customers are considering bankruptcy and/or the sale of certain business segments. Should one or more of our larger customers (including sales through their Tier 1 suppliers) declare bankruptcy or sell their business, it could adversely affect the collection of receivables, our sales, margins, profitability and, as a result, our share price. The on-going uncertain economic environment continues to cause increased financial pressures and production stresses on our customers, which could impact timely customer payments and ultimately the collectability of receivables.</w:t>
      </w:r>
    </w:p>
    <w:p>
      <w:pPr>
        <w:spacing w:after="0" w:line="146" w:lineRule="exact"/>
        <w:rPr>
          <w:sz w:val="20"/>
          <w:szCs w:val="20"/>
          <w:color w:val="auto"/>
        </w:rPr>
      </w:pPr>
    </w:p>
    <w:p>
      <w:pPr>
        <w:ind w:left="280" w:right="1619"/>
        <w:spacing w:after="0" w:line="242" w:lineRule="auto"/>
        <w:rPr>
          <w:sz w:val="20"/>
          <w:szCs w:val="20"/>
          <w:color w:val="auto"/>
        </w:rPr>
      </w:pPr>
      <w:r>
        <w:rPr>
          <w:rFonts w:ascii="Arial" w:cs="Arial" w:eastAsia="Arial" w:hAnsi="Arial"/>
          <w:sz w:val="16"/>
          <w:szCs w:val="16"/>
          <w:color w:val="auto"/>
        </w:rPr>
        <w:t>We have been paid for all pre-petition bankruptcy receivables relating to Chrysler who filed for bankruptcy protection under Chapter 11 of the United States Bankruptcy Code on April 30, 2009. We have also received payment for all pre-petition bankruptcy receivables relating to General Motors who filed for bankruptcy protection under Chapter 11 of the United States Bankruptcy Code on June 1, 2009.</w:t>
      </w:r>
    </w:p>
    <w:p>
      <w:pPr>
        <w:spacing w:after="0" w:line="145" w:lineRule="exact"/>
        <w:rPr>
          <w:sz w:val="20"/>
          <w:szCs w:val="20"/>
          <w:color w:val="auto"/>
        </w:rPr>
      </w:pPr>
    </w:p>
    <w:p>
      <w:pPr>
        <w:ind w:left="280" w:right="1559"/>
        <w:spacing w:after="0"/>
        <w:rPr>
          <w:sz w:val="20"/>
          <w:szCs w:val="20"/>
          <w:color w:val="auto"/>
        </w:rPr>
      </w:pPr>
      <w:r>
        <w:rPr>
          <w:rFonts w:ascii="Arial" w:cs="Arial" w:eastAsia="Arial" w:hAnsi="Arial"/>
          <w:sz w:val="16"/>
          <w:szCs w:val="16"/>
          <w:color w:val="auto"/>
        </w:rPr>
        <w:t>Our increased allowance for doubtful accounts in 2008 related to financially distressed Tier 1 mirror customers. While we have made progress in collecting a portion of the significantly past due account balances from certain Tier 1 mirror customers, we did incur a bad debt write off of approximately $1.1 million in 2009, which was part of the 2008 increase in allowance for doubtful accounts. The remaining overall allowance for doubtful accounts related to all financially distressed Tier 1 mirror customers remains unchanged. We continue to work with certain financially distressed Tier 1 mirror customers in collecting past due balances. Refer to Footnote 1 of the Consolidated Financial Statements for additional details regarding our allowance for doubtful accounts.</w:t>
      </w:r>
    </w:p>
    <w:p>
      <w:pPr>
        <w:spacing w:after="0" w:line="142" w:lineRule="exact"/>
        <w:rPr>
          <w:sz w:val="20"/>
          <w:szCs w:val="20"/>
          <w:color w:val="auto"/>
        </w:rPr>
      </w:pPr>
    </w:p>
    <w:p>
      <w:pPr>
        <w:ind w:left="280" w:right="1679"/>
        <w:spacing w:after="0" w:line="249" w:lineRule="auto"/>
        <w:rPr>
          <w:sz w:val="20"/>
          <w:szCs w:val="20"/>
          <w:color w:val="auto"/>
        </w:rPr>
      </w:pPr>
      <w:r>
        <w:rPr>
          <w:rFonts w:ascii="Arial" w:cs="Arial" w:eastAsia="Arial" w:hAnsi="Arial"/>
          <w:sz w:val="16"/>
          <w:szCs w:val="16"/>
          <w:i w:val="1"/>
          <w:iCs w:val="1"/>
          <w:u w:val="single" w:color="auto"/>
          <w:color w:val="auto"/>
        </w:rPr>
        <w:t>Supply Chain Disruptions.</w:t>
      </w:r>
      <w:r>
        <w:rPr>
          <w:rFonts w:ascii="Arial" w:cs="Arial" w:eastAsia="Arial" w:hAnsi="Arial"/>
          <w:sz w:val="16"/>
          <w:szCs w:val="16"/>
          <w:i w:val="1"/>
          <w:iCs w:val="1"/>
          <w:color w:val="auto"/>
        </w:rPr>
        <w:t xml:space="preserve"> </w:t>
      </w:r>
      <w:r>
        <w:rPr>
          <w:rFonts w:ascii="Arial" w:cs="Arial" w:eastAsia="Arial" w:hAnsi="Arial"/>
          <w:sz w:val="16"/>
          <w:szCs w:val="16"/>
          <w:color w:val="auto"/>
        </w:rPr>
        <w:t>Due to the just-in-time supply chains within the automotive industry, a disruption in a</w:t>
      </w:r>
      <w:r>
        <w:rPr>
          <w:rFonts w:ascii="Arial" w:cs="Arial" w:eastAsia="Arial" w:hAnsi="Arial"/>
          <w:sz w:val="16"/>
          <w:szCs w:val="16"/>
          <w:i w:val="1"/>
          <w:iCs w:val="1"/>
          <w:color w:val="auto"/>
        </w:rPr>
        <w:t xml:space="preserve"> </w:t>
      </w:r>
      <w:r>
        <w:rPr>
          <w:rFonts w:ascii="Arial" w:cs="Arial" w:eastAsia="Arial" w:hAnsi="Arial"/>
          <w:sz w:val="16"/>
          <w:szCs w:val="16"/>
          <w:color w:val="auto"/>
        </w:rPr>
        <w:t>supply chain caused by an unrelated supplier due to bankruptcy, work stoppages, strikes, part shortages, etc. could disrupt our shipments to one or more automaker customers, which could adversely affect our sales, margins, profitability and, as a result, our share price.</w:t>
      </w:r>
    </w:p>
    <w:p>
      <w:pPr>
        <w:spacing w:after="0" w:line="123" w:lineRule="exact"/>
        <w:rPr>
          <w:sz w:val="20"/>
          <w:szCs w:val="20"/>
          <w:color w:val="auto"/>
        </w:rPr>
      </w:pPr>
    </w:p>
    <w:p>
      <w:pPr>
        <w:ind w:left="280" w:right="1539"/>
        <w:spacing w:after="0" w:line="242" w:lineRule="auto"/>
        <w:rPr>
          <w:sz w:val="20"/>
          <w:szCs w:val="20"/>
          <w:color w:val="auto"/>
        </w:rPr>
      </w:pPr>
      <w:r>
        <w:rPr>
          <w:rFonts w:ascii="Arial" w:cs="Arial" w:eastAsia="Arial" w:hAnsi="Arial"/>
          <w:sz w:val="16"/>
          <w:szCs w:val="16"/>
          <w:i w:val="1"/>
          <w:iCs w:val="1"/>
          <w:u w:val="single" w:color="auto"/>
          <w:color w:val="auto"/>
        </w:rPr>
        <w:t>Pricing Pressures.</w:t>
      </w:r>
      <w:r>
        <w:rPr>
          <w:rFonts w:ascii="Arial" w:cs="Arial" w:eastAsia="Arial" w:hAnsi="Arial"/>
          <w:sz w:val="16"/>
          <w:szCs w:val="16"/>
          <w:i w:val="1"/>
          <w:iCs w:val="1"/>
          <w:color w:val="auto"/>
        </w:rPr>
        <w:t xml:space="preserve"> </w:t>
      </w:r>
      <w:r>
        <w:rPr>
          <w:rFonts w:ascii="Arial" w:cs="Arial" w:eastAsia="Arial" w:hAnsi="Arial"/>
          <w:sz w:val="16"/>
          <w:szCs w:val="16"/>
          <w:color w:val="auto"/>
        </w:rPr>
        <w:t>In addition to price reductions over the life of our long-term agreements, we continue to</w:t>
      </w:r>
      <w:r>
        <w:rPr>
          <w:rFonts w:ascii="Arial" w:cs="Arial" w:eastAsia="Arial" w:hAnsi="Arial"/>
          <w:sz w:val="16"/>
          <w:szCs w:val="16"/>
          <w:i w:val="1"/>
          <w:iCs w:val="1"/>
          <w:color w:val="auto"/>
        </w:rPr>
        <w:t xml:space="preserve"> </w:t>
      </w:r>
      <w:r>
        <w:rPr>
          <w:rFonts w:ascii="Arial" w:cs="Arial" w:eastAsia="Arial" w:hAnsi="Arial"/>
          <w:sz w:val="16"/>
          <w:szCs w:val="16"/>
          <w:color w:val="auto"/>
        </w:rPr>
        <w:t>experience significant pricing pressures from our automotive customers and competitors, which have affected, and which will continue to affect our margins to the extent that we are unable to offset the price reductions with productivity and manufacturing yield improvements, engineering and purchasing cost reductions, and increases in unit sales volume, all of which pose increasing challenges in the current automotive production environment. In addition, financial pressures at certain automakers are resulting in increased cost reduction efforts by them, including requests for additional price reductions, decontenting certain features from vehicles, customer market testing of future business, dual sourcing initiatives and warranty cost-sharing programs, which could adversely impact our sales growth, margins, profitability and, as a result, our share price.</w:t>
      </w:r>
    </w:p>
    <w:p>
      <w:pPr>
        <w:spacing w:after="0" w:line="129" w:lineRule="exact"/>
        <w:rPr>
          <w:sz w:val="20"/>
          <w:szCs w:val="20"/>
          <w:color w:val="auto"/>
        </w:rPr>
      </w:pPr>
    </w:p>
    <w:p>
      <w:pPr>
        <w:ind w:left="280" w:right="1659"/>
        <w:spacing w:after="0" w:line="255" w:lineRule="auto"/>
        <w:rPr>
          <w:sz w:val="20"/>
          <w:szCs w:val="20"/>
          <w:color w:val="auto"/>
        </w:rPr>
      </w:pPr>
      <w:r>
        <w:rPr>
          <w:rFonts w:ascii="Arial" w:cs="Arial" w:eastAsia="Arial" w:hAnsi="Arial"/>
          <w:sz w:val="16"/>
          <w:szCs w:val="16"/>
          <w:i w:val="1"/>
          <w:iCs w:val="1"/>
          <w:u w:val="single" w:color="auto"/>
          <w:color w:val="auto"/>
        </w:rPr>
        <w:t>Competition.</w:t>
      </w:r>
      <w:r>
        <w:rPr>
          <w:rFonts w:ascii="Arial" w:cs="Arial" w:eastAsia="Arial" w:hAnsi="Arial"/>
          <w:sz w:val="16"/>
          <w:szCs w:val="16"/>
          <w:i w:val="1"/>
          <w:iCs w:val="1"/>
          <w:color w:val="auto"/>
        </w:rPr>
        <w:t xml:space="preserve"> </w:t>
      </w:r>
      <w:r>
        <w:rPr>
          <w:rFonts w:ascii="Arial" w:cs="Arial" w:eastAsia="Arial" w:hAnsi="Arial"/>
          <w:sz w:val="16"/>
          <w:szCs w:val="16"/>
          <w:color w:val="auto"/>
        </w:rPr>
        <w:t>We recognize that Magna Mirrors, our main competitor and a wholly-owned subsidiary of Magna</w:t>
      </w:r>
      <w:r>
        <w:rPr>
          <w:rFonts w:ascii="Arial" w:cs="Arial" w:eastAsia="Arial" w:hAnsi="Arial"/>
          <w:sz w:val="16"/>
          <w:szCs w:val="16"/>
          <w:i w:val="1"/>
          <w:iCs w:val="1"/>
          <w:color w:val="auto"/>
        </w:rPr>
        <w:t xml:space="preserve"> </w:t>
      </w:r>
      <w:r>
        <w:rPr>
          <w:rFonts w:ascii="Arial" w:cs="Arial" w:eastAsia="Arial" w:hAnsi="Arial"/>
          <w:sz w:val="16"/>
          <w:szCs w:val="16"/>
          <w:color w:val="auto"/>
        </w:rPr>
        <w:t>International, is considerably larger than we are and may present a more formidable competitive threat in the future. Our future growth and success will depend on the ability to compete in our highly competitive markets.</w:t>
      </w:r>
    </w:p>
    <w:p>
      <w:pPr>
        <w:spacing w:after="0" w:line="146" w:lineRule="exact"/>
        <w:rPr>
          <w:sz w:val="20"/>
          <w:szCs w:val="20"/>
          <w:color w:val="auto"/>
        </w:rPr>
      </w:pPr>
    </w:p>
    <w:p>
      <w:pPr>
        <w:ind w:left="280" w:right="1619"/>
        <w:spacing w:after="0" w:line="239" w:lineRule="auto"/>
        <w:rPr>
          <w:sz w:val="20"/>
          <w:szCs w:val="20"/>
          <w:color w:val="auto"/>
        </w:rPr>
      </w:pPr>
      <w:r>
        <w:rPr>
          <w:rFonts w:ascii="Arial" w:cs="Arial" w:eastAsia="Arial" w:hAnsi="Arial"/>
          <w:sz w:val="16"/>
          <w:szCs w:val="16"/>
          <w:color w:val="auto"/>
        </w:rPr>
        <w:t>Our RCD Mirror feature competes in the market place with backup sensors and rear backup cameras (which could be in the mirror, navigation system or other LCD displays). We believe that our RCD Mirror is an optimum, ergonomic, easily adaptable method to display the output of a rear camera for increased safety. Ultrasonic sensors cost less but may be less effective. Any color display in a vehicle is relatively costly. When a color display is required for other features such as navigation, radio or other vehicle functions, then it may be less costly on a per-feature basis to display the output of the backup camera in that in-dash display, offering significant competition to the RCD Mirror. The long-term success of our RCD Mirror may depend on automakers willingness and desire to display other information in the RCD Mirror, driving down the per-feature cost.</w:t>
      </w:r>
    </w:p>
    <w:p>
      <w:pPr>
        <w:spacing w:after="0" w:line="200" w:lineRule="exact"/>
        <w:rPr>
          <w:sz w:val="20"/>
          <w:szCs w:val="20"/>
          <w:color w:val="auto"/>
        </w:rPr>
      </w:pPr>
    </w:p>
    <w:p>
      <w:pPr>
        <w:spacing w:after="0" w:line="290"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15" w:name="page16"/>
    <w:bookmarkEnd w:id="15"/>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91" w:lineRule="exact"/>
        <w:rPr>
          <w:sz w:val="20"/>
          <w:szCs w:val="20"/>
          <w:color w:val="auto"/>
        </w:rPr>
      </w:pPr>
    </w:p>
    <w:p>
      <w:pPr>
        <w:ind w:left="280" w:right="1639"/>
        <w:spacing w:after="0" w:line="243" w:lineRule="auto"/>
        <w:rPr>
          <w:sz w:val="20"/>
          <w:szCs w:val="20"/>
          <w:color w:val="auto"/>
        </w:rPr>
      </w:pPr>
      <w:r>
        <w:rPr>
          <w:rFonts w:ascii="Arial" w:cs="Arial" w:eastAsia="Arial" w:hAnsi="Arial"/>
          <w:sz w:val="16"/>
          <w:szCs w:val="16"/>
          <w:color w:val="auto"/>
        </w:rPr>
        <w:t>Our SmartBeam</w:t>
      </w:r>
      <w:r>
        <w:rPr>
          <w:rFonts w:ascii="Arial" w:cs="Arial" w:eastAsia="Arial" w:hAnsi="Arial"/>
          <w:sz w:val="13"/>
          <w:szCs w:val="13"/>
          <w:color w:val="auto"/>
        </w:rPr>
        <w:t>®</w:t>
      </w:r>
      <w:r>
        <w:rPr>
          <w:rFonts w:ascii="Arial" w:cs="Arial" w:eastAsia="Arial" w:hAnsi="Arial"/>
          <w:sz w:val="16"/>
          <w:szCs w:val="16"/>
          <w:color w:val="auto"/>
        </w:rPr>
        <w:t xml:space="preserve"> product is a single function feature that competes with large electronic automotive suppliers who are marketing multi-function vision systems. Our single function SmartBeam</w:t>
      </w:r>
      <w:r>
        <w:rPr>
          <w:rFonts w:ascii="Arial" w:cs="Arial" w:eastAsia="Arial" w:hAnsi="Arial"/>
          <w:sz w:val="13"/>
          <w:szCs w:val="13"/>
          <w:color w:val="auto"/>
        </w:rPr>
        <w:t>®</w:t>
      </w:r>
      <w:r>
        <w:rPr>
          <w:rFonts w:ascii="Arial" w:cs="Arial" w:eastAsia="Arial" w:hAnsi="Arial"/>
          <w:sz w:val="16"/>
          <w:szCs w:val="16"/>
          <w:color w:val="auto"/>
        </w:rPr>
        <w:t xml:space="preserve"> feature is a cost competitive product when compared to other high-beam assist features. While we expect RCD Mirrors and SmartBeam</w:t>
      </w:r>
      <w:r>
        <w:rPr>
          <w:rFonts w:ascii="Arial" w:cs="Arial" w:eastAsia="Arial" w:hAnsi="Arial"/>
          <w:sz w:val="13"/>
          <w:szCs w:val="13"/>
          <w:color w:val="auto"/>
        </w:rPr>
        <w:t>®</w:t>
      </w:r>
      <w:r>
        <w:rPr>
          <w:rFonts w:ascii="Arial" w:cs="Arial" w:eastAsia="Arial" w:hAnsi="Arial"/>
          <w:sz w:val="16"/>
          <w:szCs w:val="16"/>
          <w:color w:val="auto"/>
        </w:rPr>
        <w:t xml:space="preserve"> to drive growth over the next several years, competition could impact our expectations.</w:t>
      </w:r>
    </w:p>
    <w:p>
      <w:pPr>
        <w:spacing w:after="0" w:line="140" w:lineRule="exact"/>
        <w:rPr>
          <w:sz w:val="20"/>
          <w:szCs w:val="20"/>
          <w:color w:val="auto"/>
        </w:rPr>
      </w:pPr>
    </w:p>
    <w:p>
      <w:pPr>
        <w:ind w:left="280" w:right="1979"/>
        <w:spacing w:after="0" w:line="249" w:lineRule="auto"/>
        <w:rPr>
          <w:sz w:val="20"/>
          <w:szCs w:val="20"/>
          <w:color w:val="auto"/>
        </w:rPr>
      </w:pPr>
      <w:r>
        <w:rPr>
          <w:rFonts w:ascii="Arial" w:cs="Arial" w:eastAsia="Arial" w:hAnsi="Arial"/>
          <w:sz w:val="16"/>
          <w:szCs w:val="16"/>
          <w:i w:val="1"/>
          <w:iCs w:val="1"/>
          <w:u w:val="single" w:color="auto"/>
          <w:color w:val="auto"/>
        </w:rPr>
        <w:t>New Technology and Product Development.</w:t>
      </w:r>
      <w:r>
        <w:rPr>
          <w:rFonts w:ascii="Arial" w:cs="Arial" w:eastAsia="Arial" w:hAnsi="Arial"/>
          <w:sz w:val="16"/>
          <w:szCs w:val="16"/>
          <w:i w:val="1"/>
          <w:iCs w:val="1"/>
          <w:color w:val="auto"/>
        </w:rPr>
        <w:t xml:space="preserve"> </w:t>
      </w:r>
      <w:r>
        <w:rPr>
          <w:rFonts w:ascii="Arial" w:cs="Arial" w:eastAsia="Arial" w:hAnsi="Arial"/>
          <w:sz w:val="16"/>
          <w:szCs w:val="16"/>
          <w:color w:val="auto"/>
        </w:rPr>
        <w:t>We continue to invest a significant portion of our annual sales in</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engineering, research and development projects as set forth in our Consolidated Statement of Income of our Consolidated Financial Statements filed with this report. Should these efforts ultimately prove unsuccessful, our sales, net income and, as a result, our share price will be adversely affected.</w:t>
      </w:r>
    </w:p>
    <w:p>
      <w:pPr>
        <w:spacing w:after="0" w:line="123" w:lineRule="exact"/>
        <w:rPr>
          <w:sz w:val="20"/>
          <w:szCs w:val="20"/>
          <w:color w:val="auto"/>
        </w:rPr>
      </w:pPr>
    </w:p>
    <w:p>
      <w:pPr>
        <w:ind w:left="280" w:right="1959"/>
        <w:spacing w:after="0" w:line="249" w:lineRule="auto"/>
        <w:rPr>
          <w:sz w:val="20"/>
          <w:szCs w:val="20"/>
          <w:color w:val="auto"/>
        </w:rPr>
      </w:pPr>
      <w:r>
        <w:rPr>
          <w:rFonts w:ascii="Arial" w:cs="Arial" w:eastAsia="Arial" w:hAnsi="Arial"/>
          <w:sz w:val="16"/>
          <w:szCs w:val="16"/>
          <w:i w:val="1"/>
          <w:iCs w:val="1"/>
          <w:u w:val="single" w:color="auto"/>
          <w:color w:val="auto"/>
        </w:rPr>
        <w:t>Intellectual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We believe that our patents and trade secrets provide us with a significant competitive</w:t>
      </w:r>
      <w:r>
        <w:rPr>
          <w:rFonts w:ascii="Arial" w:cs="Arial" w:eastAsia="Arial" w:hAnsi="Arial"/>
          <w:sz w:val="16"/>
          <w:szCs w:val="16"/>
          <w:i w:val="1"/>
          <w:iCs w:val="1"/>
          <w:color w:val="auto"/>
        </w:rPr>
        <w:t xml:space="preserve"> </w:t>
      </w:r>
      <w:r>
        <w:rPr>
          <w:rFonts w:ascii="Arial" w:cs="Arial" w:eastAsia="Arial" w:hAnsi="Arial"/>
          <w:sz w:val="16"/>
          <w:szCs w:val="16"/>
          <w:color w:val="auto"/>
        </w:rPr>
        <w:t>advantage in automotive rearview mirrors (but none of our patents individually is required for the success of our products). The loss of any significant combination of patents and trade secrets regarding our products could adversely affect our sales, margins, profitability and, as a result, share price.</w:t>
      </w:r>
    </w:p>
    <w:p>
      <w:pPr>
        <w:spacing w:after="0" w:line="123" w:lineRule="exact"/>
        <w:rPr>
          <w:sz w:val="20"/>
          <w:szCs w:val="20"/>
          <w:color w:val="auto"/>
        </w:rPr>
      </w:pPr>
    </w:p>
    <w:p>
      <w:pPr>
        <w:ind w:left="280" w:right="1579"/>
        <w:spacing w:after="0" w:line="244" w:lineRule="auto"/>
        <w:rPr>
          <w:sz w:val="20"/>
          <w:szCs w:val="20"/>
          <w:color w:val="auto"/>
        </w:rPr>
      </w:pPr>
      <w:r>
        <w:rPr>
          <w:rFonts w:ascii="Arial" w:cs="Arial" w:eastAsia="Arial" w:hAnsi="Arial"/>
          <w:sz w:val="16"/>
          <w:szCs w:val="16"/>
          <w:i w:val="1"/>
          <w:iCs w:val="1"/>
          <w:u w:val="single" w:color="auto"/>
          <w:color w:val="auto"/>
        </w:rPr>
        <w:t>Intellectual Property Litigation and Infringement Claims.</w:t>
      </w:r>
      <w:r>
        <w:rPr>
          <w:rFonts w:ascii="Arial" w:cs="Arial" w:eastAsia="Arial" w:hAnsi="Arial"/>
          <w:sz w:val="16"/>
          <w:szCs w:val="16"/>
          <w:i w:val="1"/>
          <w:iCs w:val="1"/>
          <w:color w:val="auto"/>
        </w:rPr>
        <w:t xml:space="preserve"> </w:t>
      </w:r>
      <w:r>
        <w:rPr>
          <w:rFonts w:ascii="Arial" w:cs="Arial" w:eastAsia="Arial" w:hAnsi="Arial"/>
          <w:sz w:val="16"/>
          <w:szCs w:val="16"/>
          <w:color w:val="auto"/>
        </w:rPr>
        <w:t>A successful claim of patent or other intellectual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infringement against us could affect our profitability and future growth. If someone claims that our products infringed their intellectual property rights, any resulting litigation could be costly and time consuming and would divert the attention of management and key personnel from other business issues. The complexity of the technology involved in our business and the uncertainty of intellectual property litigation significantly increases these risks. Any of these adverse consequences could potentially have an effect on our business, financial condition and results of operations.</w:t>
      </w:r>
    </w:p>
    <w:p>
      <w:pPr>
        <w:spacing w:after="0" w:line="141" w:lineRule="exact"/>
        <w:rPr>
          <w:sz w:val="20"/>
          <w:szCs w:val="20"/>
          <w:color w:val="auto"/>
        </w:rPr>
      </w:pPr>
    </w:p>
    <w:p>
      <w:pPr>
        <w:ind w:left="280" w:right="1559"/>
        <w:spacing w:after="0" w:line="244" w:lineRule="auto"/>
        <w:rPr>
          <w:sz w:val="20"/>
          <w:szCs w:val="20"/>
          <w:color w:val="auto"/>
        </w:rPr>
      </w:pPr>
      <w:r>
        <w:rPr>
          <w:rFonts w:ascii="Arial" w:cs="Arial" w:eastAsia="Arial" w:hAnsi="Arial"/>
          <w:sz w:val="16"/>
          <w:szCs w:val="16"/>
          <w:i w:val="1"/>
          <w:iCs w:val="1"/>
          <w:u w:val="single" w:color="auto"/>
          <w:color w:val="auto"/>
        </w:rPr>
        <w:t>Business Disruptions.</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of our proprietary products employing electro-optic technology is performed at</w:t>
      </w:r>
      <w:r>
        <w:rPr>
          <w:rFonts w:ascii="Arial" w:cs="Arial" w:eastAsia="Arial" w:hAnsi="Arial"/>
          <w:sz w:val="16"/>
          <w:szCs w:val="16"/>
          <w:i w:val="1"/>
          <w:iCs w:val="1"/>
          <w:color w:val="auto"/>
        </w:rPr>
        <w:t xml:space="preserve"> </w:t>
      </w:r>
      <w:r>
        <w:rPr>
          <w:rFonts w:ascii="Arial" w:cs="Arial" w:eastAsia="Arial" w:hAnsi="Arial"/>
          <w:sz w:val="16"/>
          <w:szCs w:val="16"/>
          <w:color w:val="auto"/>
        </w:rPr>
        <w:t>our five manufacturing facilities in Zeeland, Michigan. Should a catastrophic event occur, our ability to manufacture product, complete existing orders and provide other services would be severely impacted for an undetermined period of time. We have purchased business interruption insurance to address some of these potential costs. Our inability to conduct normal business operations for a period of time may have an adverse impact on our business, financial condition, and results of operations.</w:t>
      </w:r>
    </w:p>
    <w:p>
      <w:pPr>
        <w:spacing w:after="0" w:line="129" w:lineRule="exact"/>
        <w:rPr>
          <w:sz w:val="20"/>
          <w:szCs w:val="20"/>
          <w:color w:val="auto"/>
        </w:rPr>
      </w:pPr>
    </w:p>
    <w:p>
      <w:pPr>
        <w:ind w:left="280" w:right="1679"/>
        <w:spacing w:after="0" w:line="272" w:lineRule="auto"/>
        <w:rPr>
          <w:sz w:val="20"/>
          <w:szCs w:val="20"/>
          <w:color w:val="auto"/>
        </w:rPr>
      </w:pPr>
      <w:r>
        <w:rPr>
          <w:rFonts w:ascii="Arial" w:cs="Arial" w:eastAsia="Arial" w:hAnsi="Arial"/>
          <w:sz w:val="16"/>
          <w:szCs w:val="16"/>
          <w:i w:val="1"/>
          <w:iCs w:val="1"/>
          <w:u w:val="single" w:color="auto"/>
          <w:color w:val="auto"/>
        </w:rPr>
        <w:t>Other.</w:t>
      </w:r>
      <w:r>
        <w:rPr>
          <w:rFonts w:ascii="Arial" w:cs="Arial" w:eastAsia="Arial" w:hAnsi="Arial"/>
          <w:sz w:val="16"/>
          <w:szCs w:val="16"/>
          <w:i w:val="1"/>
          <w:iCs w:val="1"/>
          <w:color w:val="auto"/>
        </w:rPr>
        <w:t xml:space="preserve"> </w:t>
      </w:r>
      <w:r>
        <w:rPr>
          <w:rFonts w:ascii="Arial" w:cs="Arial" w:eastAsia="Arial" w:hAnsi="Arial"/>
          <w:sz w:val="16"/>
          <w:szCs w:val="16"/>
          <w:color w:val="auto"/>
        </w:rPr>
        <w:t>Other issues and uncertainties which could adversely impact our sales, margins, profitability and, as a result,</w:t>
      </w:r>
      <w:r>
        <w:rPr>
          <w:rFonts w:ascii="Arial" w:cs="Arial" w:eastAsia="Arial" w:hAnsi="Arial"/>
          <w:sz w:val="16"/>
          <w:szCs w:val="16"/>
          <w:i w:val="1"/>
          <w:iCs w:val="1"/>
          <w:color w:val="auto"/>
        </w:rPr>
        <w:t xml:space="preserve"> </w:t>
      </w:r>
      <w:r>
        <w:rPr>
          <w:rFonts w:ascii="Arial" w:cs="Arial" w:eastAsia="Arial" w:hAnsi="Arial"/>
          <w:sz w:val="16"/>
          <w:szCs w:val="16"/>
          <w:color w:val="auto"/>
        </w:rPr>
        <w:t>our share price include:</w:t>
      </w:r>
    </w:p>
    <w:p>
      <w:pPr>
        <w:spacing w:after="0" w:line="121" w:lineRule="exact"/>
        <w:rPr>
          <w:sz w:val="20"/>
          <w:szCs w:val="20"/>
          <w:color w:val="auto"/>
        </w:rPr>
      </w:pPr>
    </w:p>
    <w:p>
      <w:pPr>
        <w:ind w:left="940" w:right="1539" w:hanging="323"/>
        <w:spacing w:after="0" w:line="239" w:lineRule="auto"/>
        <w:tabs>
          <w:tab w:leader="none" w:pos="9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We have implemented the first phase of a new Enterprise Resource Planning (ERP) System effective July 1, 2009, which covered key core business areas at our Zeeland, Michigan locations. To date, we have not experienced any significant issues during the implementation process. However, there is no guarantee that all system components will function as intended in the future. In addition, we have implemented our new ERP system for one of its overseas offices effective December 1, 2009. To date, we have not experienced any significant issues during the overseas office implementation process. The implementation of additional lean manufacturing production line scheduling and business reporting capabilities are still in process as of December 31, 2009. While we believe that all necessary system development processes, testing procedures and user training that is planned will be adequate and completed prior to final implementation, there is no guarantee that all system components will function as intended at the time of implementation. Unanticipated failure(s) could cause delays in our ability to produce or ship our products, process transactions, or otherwise conduct business in our markets, resulting in material financial risk.</w:t>
      </w:r>
    </w:p>
    <w:p>
      <w:pPr>
        <w:spacing w:after="0" w:line="134" w:lineRule="exact"/>
        <w:rPr>
          <w:rFonts w:ascii="Arial" w:cs="Arial" w:eastAsia="Arial" w:hAnsi="Arial"/>
          <w:sz w:val="16"/>
          <w:szCs w:val="16"/>
          <w:b w:val="1"/>
          <w:bCs w:val="1"/>
          <w:color w:val="auto"/>
        </w:rPr>
      </w:pPr>
    </w:p>
    <w:p>
      <w:pPr>
        <w:jc w:val="both"/>
        <w:ind w:left="940" w:right="1859" w:hanging="323"/>
        <w:spacing w:after="0" w:line="244" w:lineRule="auto"/>
        <w:tabs>
          <w:tab w:leader="none" w:pos="9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General economic conditions continue to be of concern in many of the regions in which we do business. Continued adverse worldwide economic conditions, currency exchange rates, war or significant terrorist acts, could each affect worldwide automotive sales and production levels.</w:t>
      </w:r>
    </w:p>
    <w:p>
      <w:pPr>
        <w:spacing w:after="0" w:line="131" w:lineRule="exact"/>
        <w:rPr>
          <w:rFonts w:ascii="Arial" w:cs="Arial" w:eastAsia="Arial" w:hAnsi="Arial"/>
          <w:sz w:val="16"/>
          <w:szCs w:val="16"/>
          <w:b w:val="1"/>
          <w:bCs w:val="1"/>
          <w:color w:val="auto"/>
        </w:rPr>
      </w:pPr>
    </w:p>
    <w:p>
      <w:pPr>
        <w:ind w:left="940" w:right="1539" w:hanging="323"/>
        <w:spacing w:after="0" w:line="251" w:lineRule="auto"/>
        <w:tabs>
          <w:tab w:leader="none" w:pos="9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Changes in the commodity prices of the materials used in our products. We continue to experience pressure for select raw material cost increases.</w:t>
      </w:r>
    </w:p>
    <w:p>
      <w:pPr>
        <w:spacing w:after="0" w:line="125" w:lineRule="exact"/>
        <w:rPr>
          <w:rFonts w:ascii="Arial" w:cs="Arial" w:eastAsia="Arial" w:hAnsi="Arial"/>
          <w:sz w:val="16"/>
          <w:szCs w:val="16"/>
          <w:b w:val="1"/>
          <w:bCs w:val="1"/>
          <w:color w:val="auto"/>
        </w:rPr>
      </w:pPr>
    </w:p>
    <w:p>
      <w:pPr>
        <w:ind w:left="940" w:hanging="323"/>
        <w:spacing w:after="0"/>
        <w:tabs>
          <w:tab w:leader="none" w:pos="9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Manufacturing yield issues may negatively impact our margins and profitability.</w:t>
      </w:r>
    </w:p>
    <w:p>
      <w:pPr>
        <w:spacing w:after="0" w:line="144" w:lineRule="exact"/>
        <w:rPr>
          <w:rFonts w:ascii="Arial" w:cs="Arial" w:eastAsia="Arial" w:hAnsi="Arial"/>
          <w:sz w:val="16"/>
          <w:szCs w:val="16"/>
          <w:b w:val="1"/>
          <w:bCs w:val="1"/>
          <w:color w:val="auto"/>
        </w:rPr>
      </w:pPr>
    </w:p>
    <w:p>
      <w:pPr>
        <w:ind w:left="940" w:right="1579" w:hanging="323"/>
        <w:spacing w:after="0" w:line="242" w:lineRule="auto"/>
        <w:tabs>
          <w:tab w:leader="none" w:pos="9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Our ability to attract or retain key employees to operate our manufacturing facilities and to staff our corporate office. We are dependent on the services of our management team. Losing key members of our management team could adversely affect our operations. We do not maintain key man life insurance on any of our officers or directors.</w:t>
      </w:r>
    </w:p>
    <w:p>
      <w:pPr>
        <w:spacing w:after="0" w:line="132" w:lineRule="exact"/>
        <w:rPr>
          <w:rFonts w:ascii="Arial" w:cs="Arial" w:eastAsia="Arial" w:hAnsi="Arial"/>
          <w:sz w:val="16"/>
          <w:szCs w:val="16"/>
          <w:b w:val="1"/>
          <w:bCs w:val="1"/>
          <w:color w:val="auto"/>
        </w:rPr>
      </w:pPr>
    </w:p>
    <w:p>
      <w:pPr>
        <w:ind w:left="940" w:right="1739" w:hanging="323"/>
        <w:spacing w:after="0" w:line="244" w:lineRule="auto"/>
        <w:tabs>
          <w:tab w:leader="none" w:pos="9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Uncertain equity markets could negatively impact our financial performance due to an increase in realized losses on the sale of equity investments and/or recognized losses due to an other-than-temporary impairment adjustment on available-for-sale securities (mark to market adjustment).</w:t>
      </w:r>
    </w:p>
    <w:p>
      <w:pPr>
        <w:spacing w:after="0" w:line="131" w:lineRule="exact"/>
        <w:rPr>
          <w:rFonts w:ascii="Arial" w:cs="Arial" w:eastAsia="Arial" w:hAnsi="Arial"/>
          <w:sz w:val="16"/>
          <w:szCs w:val="16"/>
          <w:b w:val="1"/>
          <w:bCs w:val="1"/>
          <w:color w:val="auto"/>
        </w:rPr>
      </w:pPr>
    </w:p>
    <w:p>
      <w:pPr>
        <w:ind w:left="940" w:right="1699" w:hanging="323"/>
        <w:spacing w:after="0" w:line="251" w:lineRule="auto"/>
        <w:tabs>
          <w:tab w:leader="none" w:pos="9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Our ability to successfully design and execute strategic and operating plans, including continuing to obtain new business.</w:t>
      </w:r>
    </w:p>
    <w:p>
      <w:pPr>
        <w:spacing w:after="0" w:line="200" w:lineRule="exact"/>
        <w:rPr>
          <w:rFonts w:ascii="Arial" w:cs="Arial" w:eastAsia="Arial" w:hAnsi="Arial"/>
          <w:sz w:val="16"/>
          <w:szCs w:val="16"/>
          <w:b w:val="1"/>
          <w:bCs w:val="1"/>
          <w:color w:val="auto"/>
        </w:rPr>
      </w:pPr>
    </w:p>
    <w:p>
      <w:pPr>
        <w:spacing w:after="0" w:line="289" w:lineRule="exact"/>
        <w:rPr>
          <w:rFonts w:ascii="Arial" w:cs="Arial" w:eastAsia="Arial" w:hAnsi="Arial"/>
          <w:sz w:val="16"/>
          <w:szCs w:val="16"/>
          <w:b w:val="1"/>
          <w:bCs w:val="1"/>
          <w:color w:val="auto"/>
        </w:rPr>
      </w:pPr>
    </w:p>
    <w:p>
      <w:pPr>
        <w:ind w:left="4400" w:hanging="101"/>
        <w:spacing w:after="0"/>
        <w:tabs>
          <w:tab w:leader="none" w:pos="4400" w:val="left"/>
        </w:tabs>
        <w:numPr>
          <w:ilvl w:val="1"/>
          <w:numId w:val="7"/>
        </w:numPr>
        <w:rPr>
          <w:rFonts w:ascii="Arial" w:cs="Arial" w:eastAsia="Arial" w:hAnsi="Arial"/>
          <w:sz w:val="16"/>
          <w:szCs w:val="16"/>
          <w:color w:val="auto"/>
        </w:rPr>
      </w:pPr>
      <w:r>
        <w:rPr>
          <w:rFonts w:ascii="Arial" w:cs="Arial" w:eastAsia="Arial" w:hAnsi="Arial"/>
          <w:sz w:val="16"/>
          <w:szCs w:val="16"/>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16" w:name="page17"/>
    <w:bookmarkEnd w:id="16"/>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47" w:lineRule="exact"/>
        <w:rPr>
          <w:sz w:val="20"/>
          <w:szCs w:val="20"/>
          <w:color w:val="auto"/>
        </w:rPr>
      </w:pPr>
    </w:p>
    <w:p>
      <w:pPr>
        <w:ind w:left="280" w:right="1539"/>
        <w:spacing w:after="0" w:line="242" w:lineRule="auto"/>
        <w:rPr>
          <w:sz w:val="20"/>
          <w:szCs w:val="20"/>
          <w:color w:val="auto"/>
        </w:rPr>
      </w:pPr>
      <w:r>
        <w:rPr>
          <w:rFonts w:ascii="Arial" w:cs="Arial" w:eastAsia="Arial" w:hAnsi="Arial"/>
          <w:sz w:val="16"/>
          <w:szCs w:val="16"/>
          <w:i w:val="1"/>
          <w:iCs w:val="1"/>
          <w:u w:val="single" w:color="auto"/>
          <w:color w:val="auto"/>
        </w:rPr>
        <w:t>Antitakeover Provisions.</w:t>
      </w:r>
      <w:r>
        <w:rPr>
          <w:rFonts w:ascii="Arial" w:cs="Arial" w:eastAsia="Arial" w:hAnsi="Arial"/>
          <w:sz w:val="16"/>
          <w:szCs w:val="16"/>
          <w:i w:val="1"/>
          <w:iCs w:val="1"/>
          <w:color w:val="auto"/>
        </w:rPr>
        <w:t xml:space="preserve"> </w:t>
      </w:r>
      <w:r>
        <w:rPr>
          <w:rFonts w:ascii="Arial" w:cs="Arial" w:eastAsia="Arial" w:hAnsi="Arial"/>
          <w:sz w:val="16"/>
          <w:szCs w:val="16"/>
          <w:color w:val="auto"/>
        </w:rPr>
        <w:t>Our articles of incorporation and bylaws, the laws of Michigan, and our Shareholder</w:t>
      </w:r>
      <w:r>
        <w:rPr>
          <w:rFonts w:ascii="Arial" w:cs="Arial" w:eastAsia="Arial" w:hAnsi="Arial"/>
          <w:sz w:val="16"/>
          <w:szCs w:val="16"/>
          <w:i w:val="1"/>
          <w:iCs w:val="1"/>
          <w:color w:val="auto"/>
        </w:rPr>
        <w:t xml:space="preserve"> </w:t>
      </w:r>
      <w:r>
        <w:rPr>
          <w:rFonts w:ascii="Arial" w:cs="Arial" w:eastAsia="Arial" w:hAnsi="Arial"/>
          <w:sz w:val="16"/>
          <w:szCs w:val="16"/>
          <w:color w:val="auto"/>
        </w:rPr>
        <w:t>Protection Rights Plan include provisions which are designed to provide our board of directors with time to consider whether a hostile takeover offer is in our best interest and the best interests of our shareholders. These provisions, however, could discourage potential acquisition proposals and could delay or prevent a change in control. In addition, such provisions could diminish the opportunities for a holder of our common stock to participate in tender offers, including tender offers at a price above the then current price for our common stock. These provisions could also prevent transactions in which our shareholders might otherwise receive a premium for their shares over then current market prices, and may limit the ability of our shareholders to approve transactions that they may deem to be in their best interests.</w:t>
      </w:r>
    </w:p>
    <w:p>
      <w:pPr>
        <w:spacing w:after="0" w:line="145" w:lineRule="exact"/>
        <w:rPr>
          <w:sz w:val="20"/>
          <w:szCs w:val="20"/>
          <w:color w:val="auto"/>
        </w:rPr>
      </w:pPr>
    </w:p>
    <w:p>
      <w:pPr>
        <w:ind w:left="280" w:right="1579"/>
        <w:spacing w:after="0" w:line="251" w:lineRule="auto"/>
        <w:rPr>
          <w:sz w:val="20"/>
          <w:szCs w:val="20"/>
          <w:color w:val="auto"/>
        </w:rPr>
      </w:pPr>
      <w:r>
        <w:rPr>
          <w:rFonts w:ascii="Arial" w:cs="Arial" w:eastAsia="Arial" w:hAnsi="Arial"/>
          <w:sz w:val="16"/>
          <w:szCs w:val="16"/>
          <w:color w:val="auto"/>
        </w:rPr>
        <w:t>All of these provisions may have the effect of delaying or preventing a change in control at the company level without action by our shareholders, and therefore, could adversely affect the price of our common stock.</w:t>
      </w:r>
    </w:p>
    <w:p>
      <w:pPr>
        <w:spacing w:after="0" w:line="122" w:lineRule="exact"/>
        <w:rPr>
          <w:sz w:val="20"/>
          <w:szCs w:val="20"/>
          <w:color w:val="auto"/>
        </w:rPr>
      </w:pPr>
    </w:p>
    <w:p>
      <w:pPr>
        <w:ind w:left="280"/>
        <w:spacing w:after="0"/>
        <w:rPr>
          <w:sz w:val="20"/>
          <w:szCs w:val="20"/>
          <w:color w:val="auto"/>
        </w:rPr>
      </w:pPr>
      <w:r>
        <w:rPr>
          <w:rFonts w:ascii="Arial" w:cs="Arial" w:eastAsia="Arial" w:hAnsi="Arial"/>
          <w:sz w:val="16"/>
          <w:szCs w:val="16"/>
          <w:i w:val="1"/>
          <w:iCs w:val="1"/>
          <w:u w:val="single" w:color="auto"/>
          <w:color w:val="auto"/>
        </w:rPr>
        <w:t>Fluctuations in Market Price.</w:t>
      </w:r>
      <w:r>
        <w:rPr>
          <w:rFonts w:ascii="Arial" w:cs="Arial" w:eastAsia="Arial" w:hAnsi="Arial"/>
          <w:sz w:val="16"/>
          <w:szCs w:val="16"/>
          <w:i w:val="1"/>
          <w:iCs w:val="1"/>
          <w:color w:val="auto"/>
        </w:rPr>
        <w:t xml:space="preserve"> </w:t>
      </w:r>
      <w:r>
        <w:rPr>
          <w:rFonts w:ascii="Arial" w:cs="Arial" w:eastAsia="Arial" w:hAnsi="Arial"/>
          <w:sz w:val="16"/>
          <w:szCs w:val="16"/>
          <w:color w:val="auto"/>
        </w:rPr>
        <w:t>The market price for our common stock has fluctuated, ranging between $18.36 and</w:t>
      </w:r>
    </w:p>
    <w:p>
      <w:pPr>
        <w:spacing w:after="0" w:line="14" w:lineRule="exact"/>
        <w:rPr>
          <w:sz w:val="20"/>
          <w:szCs w:val="20"/>
          <w:color w:val="auto"/>
        </w:rPr>
      </w:pPr>
    </w:p>
    <w:p>
      <w:pPr>
        <w:ind w:left="280" w:right="1599"/>
        <w:spacing w:after="0" w:line="251" w:lineRule="auto"/>
        <w:rPr>
          <w:sz w:val="20"/>
          <w:szCs w:val="20"/>
          <w:color w:val="auto"/>
        </w:rPr>
      </w:pPr>
      <w:r>
        <w:rPr>
          <w:rFonts w:ascii="Arial" w:cs="Arial" w:eastAsia="Arial" w:hAnsi="Arial"/>
          <w:sz w:val="16"/>
          <w:szCs w:val="16"/>
          <w:color w:val="auto"/>
        </w:rPr>
        <w:t>$7.01 during 2009. The overall market and the price of our common stock may continue to fluctuate. There may be a significant impact on the market price for our common stock due to, among other things:</w:t>
      </w:r>
    </w:p>
    <w:p>
      <w:pPr>
        <w:spacing w:after="0" w:line="150" w:lineRule="exact"/>
        <w:rPr>
          <w:sz w:val="20"/>
          <w:szCs w:val="20"/>
          <w:color w:val="auto"/>
        </w:rPr>
      </w:pPr>
    </w:p>
    <w:p>
      <w:pPr>
        <w:ind w:left="940" w:hanging="323"/>
        <w:spacing w:after="0"/>
        <w:tabs>
          <w:tab w:leader="none" w:pos="94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variations in our anticipated or actual operating results or the results of our competitors;</w:t>
      </w:r>
    </w:p>
    <w:p>
      <w:pPr>
        <w:spacing w:after="0" w:line="144" w:lineRule="exact"/>
        <w:rPr>
          <w:rFonts w:ascii="Arial" w:cs="Arial" w:eastAsia="Arial" w:hAnsi="Arial"/>
          <w:sz w:val="16"/>
          <w:szCs w:val="16"/>
          <w:b w:val="1"/>
          <w:bCs w:val="1"/>
          <w:color w:val="auto"/>
        </w:rPr>
      </w:pPr>
    </w:p>
    <w:p>
      <w:pPr>
        <w:ind w:left="940" w:right="1779" w:hanging="323"/>
        <w:spacing w:after="0" w:line="251" w:lineRule="auto"/>
        <w:tabs>
          <w:tab w:leader="none" w:pos="94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changes in investors’ or analysts’ perceptions of the risks and conditions of our business and in particular our primary industry;</w:t>
      </w:r>
    </w:p>
    <w:p>
      <w:pPr>
        <w:spacing w:after="0" w:line="125" w:lineRule="exact"/>
        <w:rPr>
          <w:rFonts w:ascii="Arial" w:cs="Arial" w:eastAsia="Arial" w:hAnsi="Arial"/>
          <w:sz w:val="16"/>
          <w:szCs w:val="16"/>
          <w:b w:val="1"/>
          <w:bCs w:val="1"/>
          <w:color w:val="auto"/>
        </w:rPr>
      </w:pPr>
    </w:p>
    <w:p>
      <w:pPr>
        <w:ind w:left="940" w:hanging="323"/>
        <w:spacing w:after="0"/>
        <w:tabs>
          <w:tab w:leader="none" w:pos="94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the size of the public float of our common stock;</w:t>
      </w:r>
    </w:p>
    <w:p>
      <w:pPr>
        <w:spacing w:after="0" w:line="144" w:lineRule="exact"/>
        <w:rPr>
          <w:rFonts w:ascii="Arial" w:cs="Arial" w:eastAsia="Arial" w:hAnsi="Arial"/>
          <w:sz w:val="16"/>
          <w:szCs w:val="16"/>
          <w:b w:val="1"/>
          <w:bCs w:val="1"/>
          <w:color w:val="auto"/>
        </w:rPr>
      </w:pPr>
    </w:p>
    <w:p>
      <w:pPr>
        <w:ind w:left="940" w:hanging="323"/>
        <w:spacing w:after="0"/>
        <w:tabs>
          <w:tab w:leader="none" w:pos="94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market conditions, including the industry in which we operate, and</w:t>
      </w:r>
    </w:p>
    <w:p>
      <w:pPr>
        <w:spacing w:after="0" w:line="144" w:lineRule="exact"/>
        <w:rPr>
          <w:rFonts w:ascii="Arial" w:cs="Arial" w:eastAsia="Arial" w:hAnsi="Arial"/>
          <w:sz w:val="16"/>
          <w:szCs w:val="16"/>
          <w:b w:val="1"/>
          <w:bCs w:val="1"/>
          <w:color w:val="auto"/>
        </w:rPr>
      </w:pPr>
    </w:p>
    <w:p>
      <w:pPr>
        <w:ind w:left="940" w:hanging="323"/>
        <w:spacing w:after="0"/>
        <w:tabs>
          <w:tab w:leader="none" w:pos="94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general economic conditions.</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Item 1B. Unresolved Staff Comments.</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None.</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Item 2. Properties.</w:t>
      </w:r>
    </w:p>
    <w:p>
      <w:pPr>
        <w:spacing w:after="0" w:line="176" w:lineRule="exact"/>
        <w:rPr>
          <w:sz w:val="20"/>
          <w:szCs w:val="20"/>
          <w:color w:val="auto"/>
        </w:rPr>
      </w:pPr>
    </w:p>
    <w:p>
      <w:pPr>
        <w:ind w:left="280" w:right="1559"/>
        <w:spacing w:after="0" w:line="242" w:lineRule="auto"/>
        <w:rPr>
          <w:sz w:val="20"/>
          <w:szCs w:val="20"/>
          <w:color w:val="auto"/>
        </w:rPr>
      </w:pPr>
      <w:r>
        <w:rPr>
          <w:rFonts w:ascii="Arial" w:cs="Arial" w:eastAsia="Arial" w:hAnsi="Arial"/>
          <w:sz w:val="16"/>
          <w:szCs w:val="16"/>
          <w:color w:val="auto"/>
        </w:rPr>
        <w:t>The Company operates out of five office/manufacturing facilities in Zeeland, Michigan, approximately 25 miles southwest of Grand Rapids, in addition to overseas offices discussed elsewhere herein (see Part 1, Item 1). The office and production facility for the Fire Protection Products Group is a 25,000 square-foot, one-story building leased by the Company since 1978 from related parties (see Part III, Item 13, of this report).</w:t>
      </w:r>
    </w:p>
    <w:p>
      <w:pPr>
        <w:spacing w:after="0" w:line="145" w:lineRule="exact"/>
        <w:rPr>
          <w:sz w:val="20"/>
          <w:szCs w:val="20"/>
          <w:color w:val="auto"/>
        </w:rPr>
      </w:pPr>
    </w:p>
    <w:p>
      <w:pPr>
        <w:ind w:left="280" w:right="1619"/>
        <w:spacing w:after="0" w:line="241" w:lineRule="auto"/>
        <w:rPr>
          <w:sz w:val="20"/>
          <w:szCs w:val="20"/>
          <w:color w:val="auto"/>
        </w:rPr>
      </w:pPr>
      <w:r>
        <w:rPr>
          <w:rFonts w:ascii="Arial" w:cs="Arial" w:eastAsia="Arial" w:hAnsi="Arial"/>
          <w:sz w:val="16"/>
          <w:szCs w:val="16"/>
          <w:color w:val="auto"/>
        </w:rPr>
        <w:t>The corporate office and production facility for the Company’s Automotive Products Group is a modern, two-story, 150,000 square-foot building of steel and masonry construction situated on a 40-acre site in a well-kept industrial park. A second 128,000 square-foot office/manufacturing facility on this site was opened during 1996. The Company expanded its automotive production facilities by constructing a third 170,000 square-foot facility on its current site which opened in the second quarter of 2000.</w:t>
      </w:r>
    </w:p>
    <w:p>
      <w:pPr>
        <w:spacing w:after="0" w:line="158" w:lineRule="exact"/>
        <w:rPr>
          <w:sz w:val="20"/>
          <w:szCs w:val="20"/>
          <w:color w:val="auto"/>
        </w:rPr>
      </w:pPr>
    </w:p>
    <w:p>
      <w:pPr>
        <w:ind w:left="280" w:right="1839"/>
        <w:spacing w:after="0"/>
        <w:rPr>
          <w:sz w:val="20"/>
          <w:szCs w:val="20"/>
          <w:color w:val="auto"/>
        </w:rPr>
      </w:pPr>
      <w:r>
        <w:rPr>
          <w:rFonts w:ascii="Arial" w:cs="Arial" w:eastAsia="Arial" w:hAnsi="Arial"/>
          <w:sz w:val="16"/>
          <w:szCs w:val="16"/>
          <w:color w:val="auto"/>
        </w:rPr>
        <w:t>In November 2002, the Company announced plans to expand its manufacturing operations in Zeeland, Michigan, with the construction of a fourth 150,000 square-foot automotive mirror manufacturing facility. During 2003, the Company also announced plans for a new 200,000 square-foot technical office facility linking the fourth manufacturing facility with its existing corporate office and production facility. The Company completed the construction of its fourth automotive manufacturing facility and the new technical center in 2006 at a total cost of approximately $38 million, which was funded from its cash and cash equivalents on hand.</w:t>
      </w:r>
    </w:p>
    <w:p>
      <w:pPr>
        <w:spacing w:after="0" w:line="148" w:lineRule="exact"/>
        <w:rPr>
          <w:sz w:val="20"/>
          <w:szCs w:val="20"/>
          <w:color w:val="auto"/>
        </w:rPr>
      </w:pPr>
    </w:p>
    <w:p>
      <w:pPr>
        <w:ind w:left="280" w:right="1639"/>
        <w:spacing w:after="0" w:line="251" w:lineRule="auto"/>
        <w:rPr>
          <w:sz w:val="20"/>
          <w:szCs w:val="20"/>
          <w:color w:val="auto"/>
        </w:rPr>
      </w:pPr>
      <w:r>
        <w:rPr>
          <w:rFonts w:ascii="Arial" w:cs="Arial" w:eastAsia="Arial" w:hAnsi="Arial"/>
          <w:sz w:val="16"/>
          <w:szCs w:val="16"/>
          <w:color w:val="auto"/>
        </w:rPr>
        <w:t>The Company also constructed a 40,000 square-foot office, distribution and light manufacturing facility in Erlenbach, Germany, at a cost of approximately $5 million, which was completed at the end of 2003.</w:t>
      </w:r>
    </w:p>
    <w:p>
      <w:pPr>
        <w:spacing w:after="0" w:line="138" w:lineRule="exact"/>
        <w:rPr>
          <w:sz w:val="20"/>
          <w:szCs w:val="20"/>
          <w:color w:val="auto"/>
        </w:rPr>
      </w:pPr>
    </w:p>
    <w:p>
      <w:pPr>
        <w:jc w:val="both"/>
        <w:ind w:left="280" w:right="1699"/>
        <w:spacing w:after="0" w:line="251" w:lineRule="auto"/>
        <w:rPr>
          <w:sz w:val="20"/>
          <w:szCs w:val="20"/>
          <w:color w:val="auto"/>
        </w:rPr>
      </w:pPr>
      <w:r>
        <w:rPr>
          <w:rFonts w:ascii="Arial" w:cs="Arial" w:eastAsia="Arial" w:hAnsi="Arial"/>
          <w:sz w:val="16"/>
          <w:szCs w:val="16"/>
          <w:color w:val="auto"/>
        </w:rPr>
        <w:t>During 2006, the Company purchased a 25,000 square-foot office, distribution and light manufacturing facility near Shanghai, China, at a cost of approximately $750,000, which was funded from cash and cash equivalents on hand.</w:t>
      </w:r>
    </w:p>
    <w:p>
      <w:pPr>
        <w:spacing w:after="0" w:line="150" w:lineRule="exact"/>
        <w:rPr>
          <w:sz w:val="20"/>
          <w:szCs w:val="20"/>
          <w:color w:val="auto"/>
        </w:rPr>
      </w:pPr>
    </w:p>
    <w:p>
      <w:pPr>
        <w:ind w:left="280" w:right="1819"/>
        <w:spacing w:after="0" w:line="242" w:lineRule="auto"/>
        <w:rPr>
          <w:sz w:val="20"/>
          <w:szCs w:val="20"/>
          <w:color w:val="auto"/>
        </w:rPr>
      </w:pPr>
      <w:r>
        <w:rPr>
          <w:rFonts w:ascii="Arial" w:cs="Arial" w:eastAsia="Arial" w:hAnsi="Arial"/>
          <w:sz w:val="16"/>
          <w:szCs w:val="16"/>
          <w:color w:val="auto"/>
        </w:rPr>
        <w:t>In January 2007, the Company announced plans to expand its automotive exterior mirror manufacturing facility in Zeeland, Michigan, with the construction of a 60,000 square-foot building addition. The Company completed the building addition to its automotive exterior mirror manufacturing facility in January 2008 at a cost of approximately $6 million, which was funded from cash and cash equivalents on hand.</w:t>
      </w:r>
    </w:p>
    <w:p>
      <w:pPr>
        <w:spacing w:after="0" w:line="200" w:lineRule="exact"/>
        <w:rPr>
          <w:sz w:val="20"/>
          <w:szCs w:val="20"/>
          <w:color w:val="auto"/>
        </w:rPr>
      </w:pPr>
    </w:p>
    <w:p>
      <w:pPr>
        <w:spacing w:after="0" w:line="285"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280" w:right="1579"/>
        <w:spacing w:after="0" w:line="242" w:lineRule="auto"/>
        <w:rPr>
          <w:sz w:val="20"/>
          <w:szCs w:val="20"/>
          <w:color w:val="auto"/>
        </w:rPr>
      </w:pPr>
      <w:r>
        <w:rPr>
          <w:rFonts w:ascii="Arial" w:cs="Arial" w:eastAsia="Arial" w:hAnsi="Arial"/>
          <w:sz w:val="16"/>
          <w:szCs w:val="16"/>
          <w:color w:val="auto"/>
        </w:rPr>
        <w:t>The Company’s three automotive interior mirror manufacturing facilities currently have an estimated building capacity to manufacture approximately 15-20 million mirror units annually, based on the current product mix. The Company evaluates equipment capacity on an annual basis and adds equipment as needed. In 2009, the Company shipped approximately 8,623,000 interior auto-dimming mirrors.</w:t>
      </w:r>
    </w:p>
    <w:p>
      <w:pPr>
        <w:spacing w:after="0" w:line="157" w:lineRule="exact"/>
        <w:rPr>
          <w:sz w:val="20"/>
          <w:szCs w:val="20"/>
          <w:color w:val="auto"/>
        </w:rPr>
      </w:pPr>
    </w:p>
    <w:p>
      <w:pPr>
        <w:ind w:left="280" w:right="1879"/>
        <w:spacing w:after="0" w:line="242" w:lineRule="auto"/>
        <w:rPr>
          <w:sz w:val="20"/>
          <w:szCs w:val="20"/>
          <w:color w:val="auto"/>
        </w:rPr>
      </w:pPr>
      <w:r>
        <w:rPr>
          <w:rFonts w:ascii="Arial" w:cs="Arial" w:eastAsia="Arial" w:hAnsi="Arial"/>
          <w:sz w:val="16"/>
          <w:szCs w:val="16"/>
          <w:color w:val="auto"/>
        </w:rPr>
        <w:t>The Company’s expanded automotive exterior mirror manufacturing facility has an estimated building capacity to manufacture approximately 9 million units annually, based on the current product mix. The Company evaluates equipment capacity on an annual basis and adds equipment as needed. In 2009, the Company shipped approximately 3,055,000 exterior auto-dimming mirrors.</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Item 3. Legal Proceedings.</w:t>
      </w:r>
    </w:p>
    <w:p>
      <w:pPr>
        <w:spacing w:after="0" w:line="176" w:lineRule="exact"/>
        <w:rPr>
          <w:sz w:val="20"/>
          <w:szCs w:val="20"/>
          <w:color w:val="auto"/>
        </w:rPr>
      </w:pPr>
    </w:p>
    <w:p>
      <w:pPr>
        <w:ind w:left="280" w:right="1579"/>
        <w:spacing w:after="0" w:line="241" w:lineRule="auto"/>
        <w:rPr>
          <w:sz w:val="20"/>
          <w:szCs w:val="20"/>
          <w:color w:val="auto"/>
        </w:rPr>
      </w:pPr>
      <w:r>
        <w:rPr>
          <w:rFonts w:ascii="Arial" w:cs="Arial" w:eastAsia="Arial" w:hAnsi="Arial"/>
          <w:sz w:val="16"/>
          <w:szCs w:val="16"/>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of the Company.</w:t>
      </w:r>
    </w:p>
    <w:p>
      <w:pPr>
        <w:spacing w:after="0" w:line="13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Item 4. Submission of Matters to a Vote of Security Holders.</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None.</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Executive Officers of the Registrant.</w:t>
      </w:r>
    </w:p>
    <w:p>
      <w:pPr>
        <w:spacing w:after="0" w:line="188" w:lineRule="exact"/>
        <w:rPr>
          <w:sz w:val="20"/>
          <w:szCs w:val="20"/>
          <w:color w:val="auto"/>
        </w:rPr>
      </w:pPr>
    </w:p>
    <w:p>
      <w:pPr>
        <w:ind w:left="280" w:right="2059"/>
        <w:spacing w:after="0" w:line="251" w:lineRule="auto"/>
        <w:rPr>
          <w:sz w:val="20"/>
          <w:szCs w:val="20"/>
          <w:color w:val="auto"/>
        </w:rPr>
      </w:pPr>
      <w:r>
        <w:rPr>
          <w:rFonts w:ascii="Arial" w:cs="Arial" w:eastAsia="Arial" w:hAnsi="Arial"/>
          <w:sz w:val="16"/>
          <w:szCs w:val="16"/>
          <w:color w:val="auto"/>
        </w:rPr>
        <w:t>The following table lists the names, ages, and positions of all of the Company’s executive officers. Officers are generally elected at the meeting of the Board of Directors following the annual meeting of shareholders.</w:t>
      </w:r>
    </w:p>
    <w:p>
      <w:pPr>
        <w:spacing w:after="0" w:line="161"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1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NAME</w:t>
            </w:r>
          </w:p>
        </w:tc>
        <w:tc>
          <w:tcPr>
            <w:tcW w:w="80" w:type="dxa"/>
            <w:vAlign w:val="bottom"/>
          </w:tcPr>
          <w:p>
            <w:pPr>
              <w:spacing w:after="0"/>
              <w:rPr>
                <w:sz w:val="16"/>
                <w:szCs w:val="16"/>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AGE</w:t>
            </w:r>
          </w:p>
        </w:tc>
        <w:tc>
          <w:tcPr>
            <w:tcW w:w="80" w:type="dxa"/>
            <w:vAlign w:val="bottom"/>
          </w:tcPr>
          <w:p>
            <w:pPr>
              <w:spacing w:after="0"/>
              <w:rPr>
                <w:sz w:val="16"/>
                <w:szCs w:val="16"/>
                <w:color w:val="auto"/>
              </w:rPr>
            </w:pPr>
          </w:p>
        </w:tc>
        <w:tc>
          <w:tcPr>
            <w:tcW w:w="4160" w:type="dxa"/>
            <w:vAlign w:val="bottom"/>
            <w:tcBorders>
              <w:bottom w:val="single" w:sz="8" w:color="auto"/>
            </w:tcBorders>
          </w:tcPr>
          <w:p>
            <w:pPr>
              <w:ind w:left="1700"/>
              <w:spacing w:after="0"/>
              <w:rPr>
                <w:sz w:val="20"/>
                <w:szCs w:val="20"/>
                <w:color w:val="auto"/>
              </w:rPr>
            </w:pPr>
            <w:r>
              <w:rPr>
                <w:rFonts w:ascii="Arial" w:cs="Arial" w:eastAsia="Arial" w:hAnsi="Arial"/>
                <w:sz w:val="16"/>
                <w:szCs w:val="16"/>
                <w:color w:val="auto"/>
              </w:rPr>
              <w:t>POSITION</w:t>
            </w:r>
          </w:p>
        </w:tc>
        <w:tc>
          <w:tcPr>
            <w:tcW w:w="80" w:type="dxa"/>
            <w:vAlign w:val="bottom"/>
          </w:tcPr>
          <w:p>
            <w:pPr>
              <w:spacing w:after="0"/>
              <w:rPr>
                <w:sz w:val="16"/>
                <w:szCs w:val="16"/>
                <w:color w:val="auto"/>
              </w:rPr>
            </w:pPr>
          </w:p>
        </w:tc>
        <w:tc>
          <w:tcPr>
            <w:tcW w:w="222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POSITION HELD SINCE</w:t>
            </w:r>
          </w:p>
        </w:tc>
      </w:tr>
      <w:tr>
        <w:trPr>
          <w:trHeight w:val="174"/>
        </w:trPr>
        <w:tc>
          <w:tcPr>
            <w:tcW w:w="13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Fred Bauer</w:t>
            </w:r>
          </w:p>
        </w:tc>
        <w:tc>
          <w:tcPr>
            <w:tcW w:w="520" w:type="dxa"/>
            <w:vAlign w:val="bottom"/>
            <w:gridSpan w:val="2"/>
            <w:shd w:val="clear" w:color="auto" w:fill="CCEEFF"/>
          </w:tcPr>
          <w:p>
            <w:pPr>
              <w:jc w:val="center"/>
              <w:ind w:left="19"/>
              <w:spacing w:after="0" w:line="175" w:lineRule="exact"/>
              <w:rPr>
                <w:sz w:val="20"/>
                <w:szCs w:val="20"/>
                <w:color w:val="auto"/>
              </w:rPr>
            </w:pPr>
            <w:r>
              <w:rPr>
                <w:rFonts w:ascii="Arial" w:cs="Arial" w:eastAsia="Arial" w:hAnsi="Arial"/>
                <w:sz w:val="16"/>
                <w:szCs w:val="16"/>
                <w:color w:val="auto"/>
              </w:rPr>
              <w:t>67</w:t>
            </w:r>
          </w:p>
        </w:tc>
        <w:tc>
          <w:tcPr>
            <w:tcW w:w="80" w:type="dxa"/>
            <w:vAlign w:val="bottom"/>
            <w:shd w:val="clear" w:color="auto" w:fill="CCEEFF"/>
          </w:tcPr>
          <w:p>
            <w:pPr>
              <w:spacing w:after="0"/>
              <w:rPr>
                <w:sz w:val="15"/>
                <w:szCs w:val="15"/>
                <w:color w:val="auto"/>
              </w:rPr>
            </w:pPr>
          </w:p>
        </w:tc>
        <w:tc>
          <w:tcPr>
            <w:tcW w:w="416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Chief Executive Officer</w:t>
            </w:r>
          </w:p>
        </w:tc>
        <w:tc>
          <w:tcPr>
            <w:tcW w:w="8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May 1986</w:t>
            </w:r>
          </w:p>
        </w:tc>
      </w:tr>
      <w:tr>
        <w:trPr>
          <w:trHeight w:val="376"/>
        </w:trPr>
        <w:tc>
          <w:tcPr>
            <w:tcW w:w="1340" w:type="dxa"/>
            <w:vAlign w:val="bottom"/>
          </w:tcPr>
          <w:p>
            <w:pPr>
              <w:ind w:left="20"/>
              <w:spacing w:after="0"/>
              <w:rPr>
                <w:sz w:val="20"/>
                <w:szCs w:val="20"/>
                <w:color w:val="auto"/>
              </w:rPr>
            </w:pPr>
            <w:r>
              <w:rPr>
                <w:rFonts w:ascii="Arial" w:cs="Arial" w:eastAsia="Arial" w:hAnsi="Arial"/>
                <w:sz w:val="16"/>
                <w:szCs w:val="16"/>
                <w:color w:val="auto"/>
              </w:rPr>
              <w:t>Enoch Jen</w:t>
            </w:r>
          </w:p>
        </w:tc>
        <w:tc>
          <w:tcPr>
            <w:tcW w:w="520" w:type="dxa"/>
            <w:vAlign w:val="bottom"/>
            <w:gridSpan w:val="2"/>
          </w:tcPr>
          <w:p>
            <w:pPr>
              <w:jc w:val="center"/>
              <w:ind w:left="19"/>
              <w:spacing w:after="0"/>
              <w:rPr>
                <w:sz w:val="20"/>
                <w:szCs w:val="20"/>
                <w:color w:val="auto"/>
              </w:rPr>
            </w:pPr>
            <w:r>
              <w:rPr>
                <w:rFonts w:ascii="Arial" w:cs="Arial" w:eastAsia="Arial" w:hAnsi="Arial"/>
                <w:sz w:val="16"/>
                <w:szCs w:val="16"/>
                <w:color w:val="auto"/>
              </w:rPr>
              <w:t>58</w:t>
            </w:r>
          </w:p>
        </w:tc>
        <w:tc>
          <w:tcPr>
            <w:tcW w:w="8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Senior Vice President</w:t>
            </w:r>
          </w:p>
        </w:tc>
        <w:tc>
          <w:tcPr>
            <w:tcW w:w="8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January 2007</w:t>
            </w:r>
          </w:p>
        </w:tc>
      </w:tr>
      <w:tr>
        <w:trPr>
          <w:trHeight w:val="171"/>
        </w:trPr>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tcPr>
          <w:p>
            <w:pPr>
              <w:spacing w:after="0"/>
              <w:rPr>
                <w:sz w:val="14"/>
                <w:szCs w:val="14"/>
                <w:color w:val="auto"/>
              </w:rPr>
            </w:pPr>
          </w:p>
        </w:tc>
      </w:tr>
      <w:tr>
        <w:trPr>
          <w:trHeight w:val="181"/>
        </w:trPr>
        <w:tc>
          <w:tcPr>
            <w:tcW w:w="134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Mark Newton</w:t>
            </w:r>
          </w:p>
        </w:tc>
        <w:tc>
          <w:tcPr>
            <w:tcW w:w="520" w:type="dxa"/>
            <w:vAlign w:val="bottom"/>
            <w:gridSpan w:val="2"/>
            <w:shd w:val="clear" w:color="auto" w:fill="CCEEFF"/>
          </w:tcPr>
          <w:p>
            <w:pPr>
              <w:jc w:val="center"/>
              <w:ind w:left="19"/>
              <w:spacing w:after="0" w:line="181" w:lineRule="exact"/>
              <w:rPr>
                <w:sz w:val="20"/>
                <w:szCs w:val="20"/>
                <w:color w:val="auto"/>
              </w:rPr>
            </w:pPr>
            <w:r>
              <w:rPr>
                <w:rFonts w:ascii="Arial" w:cs="Arial" w:eastAsia="Arial" w:hAnsi="Arial"/>
                <w:sz w:val="16"/>
                <w:szCs w:val="16"/>
                <w:color w:val="auto"/>
              </w:rPr>
              <w:t>50</w:t>
            </w:r>
          </w:p>
        </w:tc>
        <w:tc>
          <w:tcPr>
            <w:tcW w:w="80" w:type="dxa"/>
            <w:vAlign w:val="bottom"/>
            <w:shd w:val="clear" w:color="auto" w:fill="CCEEFF"/>
          </w:tcPr>
          <w:p>
            <w:pPr>
              <w:spacing w:after="0"/>
              <w:rPr>
                <w:sz w:val="15"/>
                <w:szCs w:val="15"/>
                <w:color w:val="auto"/>
              </w:rPr>
            </w:pPr>
          </w:p>
        </w:tc>
        <w:tc>
          <w:tcPr>
            <w:tcW w:w="416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Senior Vice President, Electronics, Purchasing &amp; North</w:t>
            </w:r>
          </w:p>
        </w:tc>
        <w:tc>
          <w:tcPr>
            <w:tcW w:w="8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line="181" w:lineRule="exact"/>
              <w:rPr>
                <w:sz w:val="20"/>
                <w:szCs w:val="20"/>
                <w:color w:val="auto"/>
              </w:rPr>
            </w:pPr>
            <w:r>
              <w:rPr>
                <w:rFonts w:ascii="Arial" w:cs="Arial" w:eastAsia="Arial" w:hAnsi="Arial"/>
                <w:sz w:val="16"/>
                <w:szCs w:val="16"/>
                <w:color w:val="auto"/>
              </w:rPr>
              <w:t>August 2009</w:t>
            </w:r>
          </w:p>
        </w:tc>
      </w:tr>
      <w:tr>
        <w:trPr>
          <w:trHeight w:val="183"/>
        </w:trPr>
        <w:tc>
          <w:tcPr>
            <w:tcW w:w="1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6"/>
                <w:szCs w:val="16"/>
                <w:color w:val="auto"/>
              </w:rPr>
              <w:t>American Sales</w:t>
            </w:r>
          </w:p>
        </w:tc>
        <w:tc>
          <w:tcPr>
            <w:tcW w:w="80" w:type="dxa"/>
            <w:vAlign w:val="bottom"/>
            <w:shd w:val="clear" w:color="auto" w:fill="CCEEFF"/>
          </w:tcPr>
          <w:p>
            <w:pPr>
              <w:spacing w:after="0"/>
              <w:rPr>
                <w:sz w:val="15"/>
                <w:szCs w:val="15"/>
                <w:color w:val="auto"/>
              </w:rPr>
            </w:pPr>
          </w:p>
        </w:tc>
        <w:tc>
          <w:tcPr>
            <w:tcW w:w="2220" w:type="dxa"/>
            <w:vAlign w:val="bottom"/>
            <w:shd w:val="clear" w:color="auto" w:fill="CCEEFF"/>
          </w:tcPr>
          <w:p>
            <w:pPr>
              <w:spacing w:after="0"/>
              <w:rPr>
                <w:sz w:val="15"/>
                <w:szCs w:val="15"/>
                <w:color w:val="auto"/>
              </w:rPr>
            </w:pPr>
          </w:p>
        </w:tc>
      </w:tr>
      <w:tr>
        <w:trPr>
          <w:trHeight w:val="376"/>
        </w:trPr>
        <w:tc>
          <w:tcPr>
            <w:tcW w:w="1340" w:type="dxa"/>
            <w:vAlign w:val="bottom"/>
          </w:tcPr>
          <w:p>
            <w:pPr>
              <w:ind w:left="20"/>
              <w:spacing w:after="0"/>
              <w:rPr>
                <w:sz w:val="20"/>
                <w:szCs w:val="20"/>
                <w:color w:val="auto"/>
              </w:rPr>
            </w:pPr>
            <w:r>
              <w:rPr>
                <w:rFonts w:ascii="Arial" w:cs="Arial" w:eastAsia="Arial" w:hAnsi="Arial"/>
                <w:sz w:val="16"/>
                <w:szCs w:val="16"/>
                <w:color w:val="auto"/>
              </w:rPr>
              <w:t>Steve Dykman</w:t>
            </w:r>
          </w:p>
        </w:tc>
        <w:tc>
          <w:tcPr>
            <w:tcW w:w="520" w:type="dxa"/>
            <w:vAlign w:val="bottom"/>
            <w:gridSpan w:val="2"/>
          </w:tcPr>
          <w:p>
            <w:pPr>
              <w:jc w:val="center"/>
              <w:ind w:left="19"/>
              <w:spacing w:after="0"/>
              <w:rPr>
                <w:sz w:val="20"/>
                <w:szCs w:val="20"/>
                <w:color w:val="auto"/>
              </w:rPr>
            </w:pPr>
            <w:r>
              <w:rPr>
                <w:rFonts w:ascii="Arial" w:cs="Arial" w:eastAsia="Arial" w:hAnsi="Arial"/>
                <w:sz w:val="16"/>
                <w:szCs w:val="16"/>
                <w:color w:val="auto"/>
              </w:rPr>
              <w:t>44</w:t>
            </w:r>
          </w:p>
        </w:tc>
        <w:tc>
          <w:tcPr>
            <w:tcW w:w="80" w:type="dxa"/>
            <w:vAlign w:val="bottom"/>
          </w:tcPr>
          <w:p>
            <w:pPr>
              <w:spacing w:after="0"/>
              <w:rPr>
                <w:sz w:val="24"/>
                <w:szCs w:val="24"/>
                <w:color w:val="auto"/>
              </w:rPr>
            </w:pPr>
          </w:p>
        </w:tc>
        <w:tc>
          <w:tcPr>
            <w:tcW w:w="4160" w:type="dxa"/>
            <w:vAlign w:val="bottom"/>
          </w:tcPr>
          <w:p>
            <w:pPr>
              <w:spacing w:after="0"/>
              <w:rPr>
                <w:sz w:val="20"/>
                <w:szCs w:val="20"/>
                <w:color w:val="auto"/>
              </w:rPr>
            </w:pPr>
            <w:r>
              <w:rPr>
                <w:rFonts w:ascii="Arial" w:cs="Arial" w:eastAsia="Arial" w:hAnsi="Arial"/>
                <w:sz w:val="16"/>
                <w:szCs w:val="16"/>
                <w:color w:val="auto"/>
              </w:rPr>
              <w:t>Vice President, Finance and Treasurer</w:t>
            </w:r>
          </w:p>
        </w:tc>
        <w:tc>
          <w:tcPr>
            <w:tcW w:w="80" w:type="dxa"/>
            <w:vAlign w:val="bottom"/>
          </w:tcPr>
          <w:p>
            <w:pPr>
              <w:spacing w:after="0"/>
              <w:rPr>
                <w:sz w:val="24"/>
                <w:szCs w:val="24"/>
                <w:color w:val="auto"/>
              </w:rPr>
            </w:pPr>
          </w:p>
        </w:tc>
        <w:tc>
          <w:tcPr>
            <w:tcW w:w="2220" w:type="dxa"/>
            <w:vAlign w:val="bottom"/>
          </w:tcPr>
          <w:p>
            <w:pPr>
              <w:spacing w:after="0"/>
              <w:rPr>
                <w:sz w:val="20"/>
                <w:szCs w:val="20"/>
                <w:color w:val="auto"/>
              </w:rPr>
            </w:pPr>
            <w:r>
              <w:rPr>
                <w:rFonts w:ascii="Arial" w:cs="Arial" w:eastAsia="Arial" w:hAnsi="Arial"/>
                <w:sz w:val="16"/>
                <w:szCs w:val="16"/>
                <w:color w:val="auto"/>
              </w:rPr>
              <w:t>January 2007</w:t>
            </w:r>
          </w:p>
        </w:tc>
      </w:tr>
    </w:tbl>
    <w:p>
      <w:pPr>
        <w:spacing w:after="0" w:line="14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There are no family relationships among the officers listed in the preceding table.</w:t>
      </w:r>
    </w:p>
    <w:p>
      <w:pPr>
        <w:spacing w:after="0" w:line="156" w:lineRule="exact"/>
        <w:rPr>
          <w:sz w:val="20"/>
          <w:szCs w:val="20"/>
          <w:color w:val="auto"/>
        </w:rPr>
      </w:pPr>
    </w:p>
    <w:p>
      <w:pPr>
        <w:ind w:left="280" w:right="1599"/>
        <w:spacing w:after="0" w:line="251" w:lineRule="auto"/>
        <w:rPr>
          <w:sz w:val="20"/>
          <w:szCs w:val="20"/>
          <w:color w:val="auto"/>
        </w:rPr>
      </w:pPr>
      <w:r>
        <w:rPr>
          <w:rFonts w:ascii="Arial" w:cs="Arial" w:eastAsia="Arial" w:hAnsi="Arial"/>
          <w:sz w:val="16"/>
          <w:szCs w:val="16"/>
          <w:color w:val="auto"/>
        </w:rPr>
        <w:t>Except for the executive officers discussed below, all other executive officers have held their current position with the Company for more than five years.</w:t>
      </w:r>
    </w:p>
    <w:p>
      <w:pPr>
        <w:spacing w:after="0" w:line="150" w:lineRule="exact"/>
        <w:rPr>
          <w:sz w:val="20"/>
          <w:szCs w:val="20"/>
          <w:color w:val="auto"/>
        </w:rPr>
      </w:pPr>
    </w:p>
    <w:p>
      <w:pPr>
        <w:ind w:left="280" w:right="1699"/>
        <w:spacing w:after="0" w:line="251" w:lineRule="auto"/>
        <w:rPr>
          <w:sz w:val="20"/>
          <w:szCs w:val="20"/>
          <w:color w:val="auto"/>
        </w:rPr>
      </w:pPr>
      <w:r>
        <w:rPr>
          <w:rFonts w:ascii="Arial" w:cs="Arial" w:eastAsia="Arial" w:hAnsi="Arial"/>
          <w:sz w:val="16"/>
          <w:szCs w:val="16"/>
          <w:color w:val="auto"/>
        </w:rPr>
        <w:t>Enoch Jen had previously served as Senior Vice President and Chief Financial Officer since April 2006 and as Vice President, Finance of the Company since February 1991.</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Mark Newton had previously served as Senior Vice President, Electrical Engineering and Purchasing since</w:t>
      </w:r>
    </w:p>
    <w:p>
      <w:pPr>
        <w:ind w:left="280" w:right="1619"/>
        <w:spacing w:after="0" w:line="242" w:lineRule="auto"/>
        <w:rPr>
          <w:sz w:val="20"/>
          <w:szCs w:val="20"/>
          <w:color w:val="auto"/>
        </w:rPr>
      </w:pPr>
      <w:r>
        <w:rPr>
          <w:rFonts w:ascii="Arial" w:cs="Arial" w:eastAsia="Arial" w:hAnsi="Arial"/>
          <w:sz w:val="16"/>
          <w:szCs w:val="16"/>
          <w:color w:val="auto"/>
        </w:rPr>
        <w:t>June 2008, as Vice President, Purchasing and Advanced Technology since July 2007, as Vice President Purchasing and Photonics since July 2006, as Photonics Engineering Manager since July 2005 and joined the Company as Advanced Lighting Developer in August 2004. Prior to that time, Mr. Newton served as Vice President of Unity Microelectronics, Inc. since 2000. Mr. Newton became an executive officer of the Company on January 1, 2008.</w:t>
      </w:r>
    </w:p>
    <w:p>
      <w:pPr>
        <w:spacing w:after="0" w:line="145" w:lineRule="exact"/>
        <w:rPr>
          <w:sz w:val="20"/>
          <w:szCs w:val="20"/>
          <w:color w:val="auto"/>
        </w:rPr>
      </w:pPr>
    </w:p>
    <w:p>
      <w:pPr>
        <w:ind w:left="280" w:right="1799"/>
        <w:spacing w:after="0" w:line="244" w:lineRule="auto"/>
        <w:rPr>
          <w:sz w:val="20"/>
          <w:szCs w:val="20"/>
          <w:color w:val="auto"/>
        </w:rPr>
      </w:pPr>
      <w:r>
        <w:rPr>
          <w:rFonts w:ascii="Arial" w:cs="Arial" w:eastAsia="Arial" w:hAnsi="Arial"/>
          <w:sz w:val="16"/>
          <w:szCs w:val="16"/>
          <w:color w:val="auto"/>
        </w:rPr>
        <w:t>Steve Dykman had previously served as Treasurer and Director of Accounting and Finance of the Company since November 2002, as Controller of the Company since April 1995 and joined the Company as Finance and Tax Manager in November 1993.</w:t>
      </w:r>
    </w:p>
    <w:p>
      <w:pPr>
        <w:spacing w:after="0" w:line="200" w:lineRule="exact"/>
        <w:rPr>
          <w:sz w:val="20"/>
          <w:szCs w:val="20"/>
          <w:color w:val="auto"/>
        </w:rPr>
      </w:pPr>
    </w:p>
    <w:p>
      <w:pPr>
        <w:spacing w:after="0" w:line="296"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color w:val="auto"/>
        </w:rPr>
        <w:t>PART II</w:t>
      </w:r>
    </w:p>
    <w:p>
      <w:pPr>
        <w:spacing w:after="0" w:line="168" w:lineRule="exact"/>
        <w:rPr>
          <w:sz w:val="20"/>
          <w:szCs w:val="20"/>
          <w:color w:val="auto"/>
        </w:rPr>
      </w:pPr>
    </w:p>
    <w:p>
      <w:pPr>
        <w:ind w:left="280" w:right="1859"/>
        <w:spacing w:after="0" w:line="277" w:lineRule="auto"/>
        <w:rPr>
          <w:sz w:val="20"/>
          <w:szCs w:val="20"/>
          <w:color w:val="auto"/>
        </w:rPr>
      </w:pPr>
      <w:r>
        <w:rPr>
          <w:rFonts w:ascii="Arial" w:cs="Arial" w:eastAsia="Arial" w:hAnsi="Arial"/>
          <w:sz w:val="16"/>
          <w:szCs w:val="16"/>
          <w:b w:val="1"/>
          <w:bCs w:val="1"/>
          <w:color w:val="auto"/>
        </w:rPr>
        <w:t>Item 5. Market for the Registrant’s Common Equity, Related Stockholder Matters and Issuer Purchases of Equity Securities.</w:t>
      </w:r>
    </w:p>
    <w:p>
      <w:pPr>
        <w:spacing w:after="0" w:line="115" w:lineRule="exact"/>
        <w:rPr>
          <w:sz w:val="20"/>
          <w:szCs w:val="20"/>
          <w:color w:val="auto"/>
        </w:rPr>
      </w:pPr>
    </w:p>
    <w:p>
      <w:pPr>
        <w:ind w:left="940" w:right="1579" w:hanging="323"/>
        <w:spacing w:after="0" w:line="243" w:lineRule="auto"/>
        <w:tabs>
          <w:tab w:leader="none" w:pos="9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Company’s common stock trades on The Nasdaq Global Select Market</w:t>
      </w:r>
      <w:r>
        <w:rPr>
          <w:rFonts w:ascii="Arial" w:cs="Arial" w:eastAsia="Arial" w:hAnsi="Arial"/>
          <w:sz w:val="13"/>
          <w:szCs w:val="13"/>
          <w:color w:val="auto"/>
        </w:rPr>
        <w:t>®</w:t>
      </w:r>
      <w:r>
        <w:rPr>
          <w:rFonts w:ascii="Arial" w:cs="Arial" w:eastAsia="Arial" w:hAnsi="Arial"/>
          <w:sz w:val="16"/>
          <w:szCs w:val="16"/>
          <w:color w:val="auto"/>
        </w:rPr>
        <w:t>. As of February 9, 2010, there were 2,282 record-holders of the Company’s common stock. Ranges of high and low sale prices of the Company’s common stock reported through The Nasdaq Global Select Market for the past two fiscal years appear in the following table.</w:t>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9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YEAR</w:t>
            </w:r>
          </w:p>
        </w:tc>
        <w:tc>
          <w:tcPr>
            <w:tcW w:w="26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QUARTER</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ind w:left="60"/>
              <w:spacing w:after="0"/>
              <w:rPr>
                <w:sz w:val="20"/>
                <w:szCs w:val="20"/>
                <w:color w:val="auto"/>
              </w:rPr>
            </w:pPr>
            <w:r>
              <w:rPr>
                <w:rFonts w:ascii="Arial" w:cs="Arial" w:eastAsia="Arial" w:hAnsi="Arial"/>
                <w:sz w:val="16"/>
                <w:szCs w:val="16"/>
                <w:color w:val="auto"/>
              </w:rPr>
              <w:t>HIGH</w:t>
            </w:r>
          </w:p>
        </w:tc>
        <w:tc>
          <w:tcPr>
            <w:tcW w:w="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LOW</w:t>
            </w:r>
          </w:p>
        </w:tc>
        <w:tc>
          <w:tcPr>
            <w:tcW w:w="60" w:type="dxa"/>
            <w:vAlign w:val="bottom"/>
          </w:tcPr>
          <w:p>
            <w:pPr>
              <w:spacing w:after="0"/>
              <w:rPr>
                <w:sz w:val="16"/>
                <w:szCs w:val="16"/>
                <w:color w:val="auto"/>
              </w:rPr>
            </w:pPr>
          </w:p>
        </w:tc>
      </w:tr>
      <w:tr>
        <w:trPr>
          <w:trHeight w:val="174"/>
        </w:trPr>
        <w:tc>
          <w:tcPr>
            <w:tcW w:w="9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2008</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First</w:t>
            </w:r>
          </w:p>
        </w:tc>
        <w:tc>
          <w:tcPr>
            <w:tcW w:w="3980" w:type="dxa"/>
            <w:vAlign w:val="bottom"/>
            <w:gridSpan w:val="3"/>
            <w:shd w:val="clear" w:color="auto" w:fill="CCEEFF"/>
          </w:tcPr>
          <w:p>
            <w:pPr>
              <w:jc w:val="right"/>
              <w:ind w:right="80"/>
              <w:spacing w:after="0" w:line="175"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320"/>
              <w:spacing w:after="0" w:line="175" w:lineRule="exact"/>
              <w:rPr>
                <w:sz w:val="20"/>
                <w:szCs w:val="20"/>
                <w:color w:val="auto"/>
              </w:rPr>
            </w:pPr>
            <w:r>
              <w:rPr>
                <w:rFonts w:ascii="Arial" w:cs="Arial" w:eastAsia="Arial" w:hAnsi="Arial"/>
                <w:sz w:val="16"/>
                <w:szCs w:val="16"/>
                <w:color w:val="auto"/>
              </w:rPr>
              <w:t>18.05</w:t>
            </w:r>
          </w:p>
        </w:tc>
        <w:tc>
          <w:tcPr>
            <w:tcW w:w="16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13.46</w:t>
            </w:r>
          </w:p>
        </w:tc>
      </w:tr>
      <w:tr>
        <w:trPr>
          <w:trHeight w:val="182"/>
        </w:trPr>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line="182" w:lineRule="exact"/>
              <w:rPr>
                <w:sz w:val="20"/>
                <w:szCs w:val="20"/>
                <w:color w:val="auto"/>
              </w:rPr>
            </w:pPr>
            <w:r>
              <w:rPr>
                <w:rFonts w:ascii="Arial" w:cs="Arial" w:eastAsia="Arial" w:hAnsi="Arial"/>
                <w:sz w:val="16"/>
                <w:szCs w:val="16"/>
                <w:color w:val="auto"/>
              </w:rPr>
              <w:t>Second</w:t>
            </w:r>
          </w:p>
        </w:tc>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19.47</w:t>
            </w:r>
          </w:p>
        </w:tc>
        <w:tc>
          <w:tcPr>
            <w:tcW w:w="160" w:type="dxa"/>
            <w:vAlign w:val="bottom"/>
          </w:tcPr>
          <w:p>
            <w:pPr>
              <w:spacing w:after="0"/>
              <w:rPr>
                <w:sz w:val="15"/>
                <w:szCs w:val="15"/>
                <w:color w:val="auto"/>
              </w:rPr>
            </w:pPr>
          </w:p>
        </w:tc>
        <w:tc>
          <w:tcPr>
            <w:tcW w:w="76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14.40</w:t>
            </w:r>
          </w:p>
        </w:tc>
      </w:tr>
      <w:tr>
        <w:trPr>
          <w:trHeight w:val="182"/>
        </w:trPr>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Third</w:t>
            </w:r>
          </w:p>
        </w:tc>
        <w:tc>
          <w:tcPr>
            <w:tcW w:w="3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17.76</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13.27</w:t>
            </w:r>
          </w:p>
        </w:tc>
      </w:tr>
      <w:tr>
        <w:trPr>
          <w:trHeight w:val="195"/>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20"/>
                <w:szCs w:val="20"/>
                <w:color w:val="auto"/>
              </w:rPr>
            </w:pPr>
            <w:r>
              <w:rPr>
                <w:rFonts w:ascii="Arial" w:cs="Arial" w:eastAsia="Arial" w:hAnsi="Arial"/>
                <w:sz w:val="16"/>
                <w:szCs w:val="16"/>
                <w:color w:val="auto"/>
              </w:rPr>
              <w:t>Fourth</w:t>
            </w:r>
          </w:p>
        </w:tc>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14.07</w:t>
            </w:r>
          </w:p>
        </w:tc>
        <w:tc>
          <w:tcPr>
            <w:tcW w:w="16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6.50</w:t>
            </w:r>
          </w:p>
        </w:tc>
      </w:tr>
      <w:tr>
        <w:trPr>
          <w:trHeight w:val="170"/>
        </w:trPr>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2"/>
        </w:trPr>
        <w:tc>
          <w:tcPr>
            <w:tcW w:w="94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2009</w:t>
            </w: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First</w:t>
            </w:r>
          </w:p>
        </w:tc>
        <w:tc>
          <w:tcPr>
            <w:tcW w:w="3980" w:type="dxa"/>
            <w:vAlign w:val="bottom"/>
            <w:gridSpan w:val="3"/>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10.64</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76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7.01</w:t>
            </w:r>
          </w:p>
        </w:tc>
      </w:tr>
      <w:tr>
        <w:trPr>
          <w:trHeight w:val="182"/>
        </w:trPr>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line="182" w:lineRule="exact"/>
              <w:rPr>
                <w:sz w:val="20"/>
                <w:szCs w:val="20"/>
                <w:color w:val="auto"/>
              </w:rPr>
            </w:pPr>
            <w:r>
              <w:rPr>
                <w:rFonts w:ascii="Arial" w:cs="Arial" w:eastAsia="Arial" w:hAnsi="Arial"/>
                <w:sz w:val="16"/>
                <w:szCs w:val="16"/>
                <w:color w:val="auto"/>
              </w:rPr>
              <w:t>Second</w:t>
            </w:r>
          </w:p>
        </w:tc>
        <w:tc>
          <w:tcPr>
            <w:tcW w:w="3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14.02</w:t>
            </w:r>
          </w:p>
        </w:tc>
        <w:tc>
          <w:tcPr>
            <w:tcW w:w="160" w:type="dxa"/>
            <w:vAlign w:val="bottom"/>
          </w:tcPr>
          <w:p>
            <w:pPr>
              <w:spacing w:after="0"/>
              <w:rPr>
                <w:sz w:val="15"/>
                <w:szCs w:val="15"/>
                <w:color w:val="auto"/>
              </w:rPr>
            </w:pPr>
          </w:p>
        </w:tc>
        <w:tc>
          <w:tcPr>
            <w:tcW w:w="76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9.53</w:t>
            </w:r>
          </w:p>
        </w:tc>
      </w:tr>
      <w:tr>
        <w:trPr>
          <w:trHeight w:val="182"/>
        </w:trPr>
        <w:tc>
          <w:tcPr>
            <w:tcW w:w="9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Third</w:t>
            </w:r>
          </w:p>
        </w:tc>
        <w:tc>
          <w:tcPr>
            <w:tcW w:w="35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15.50</w:t>
            </w:r>
          </w:p>
        </w:tc>
        <w:tc>
          <w:tcPr>
            <w:tcW w:w="16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9.87</w:t>
            </w:r>
          </w:p>
        </w:tc>
      </w:tr>
      <w:tr>
        <w:trPr>
          <w:trHeight w:val="195"/>
        </w:trPr>
        <w:tc>
          <w:tcPr>
            <w:tcW w:w="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spacing w:after="0"/>
              <w:rPr>
                <w:sz w:val="20"/>
                <w:szCs w:val="20"/>
                <w:color w:val="auto"/>
              </w:rPr>
            </w:pPr>
            <w:r>
              <w:rPr>
                <w:rFonts w:ascii="Arial" w:cs="Arial" w:eastAsia="Arial" w:hAnsi="Arial"/>
                <w:sz w:val="16"/>
                <w:szCs w:val="16"/>
                <w:color w:val="auto"/>
              </w:rPr>
              <w:t>Fourth</w:t>
            </w:r>
          </w:p>
        </w:tc>
        <w:tc>
          <w:tcPr>
            <w:tcW w:w="3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18.36</w:t>
            </w:r>
          </w:p>
        </w:tc>
        <w:tc>
          <w:tcPr>
            <w:tcW w:w="160" w:type="dxa"/>
            <w:vAlign w:val="bottom"/>
          </w:tcPr>
          <w:p>
            <w:pPr>
              <w:spacing w:after="0"/>
              <w:rPr>
                <w:sz w:val="16"/>
                <w:szCs w:val="16"/>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13.60</w:t>
            </w:r>
          </w:p>
        </w:tc>
      </w:tr>
    </w:tbl>
    <w:p>
      <w:pPr>
        <w:spacing w:after="0" w:line="145" w:lineRule="exact"/>
        <w:rPr>
          <w:sz w:val="20"/>
          <w:szCs w:val="20"/>
          <w:color w:val="auto"/>
        </w:rPr>
      </w:pPr>
    </w:p>
    <w:p>
      <w:pPr>
        <w:ind w:left="940"/>
        <w:spacing w:after="0"/>
        <w:rPr>
          <w:sz w:val="20"/>
          <w:szCs w:val="20"/>
          <w:color w:val="auto"/>
        </w:rPr>
      </w:pPr>
      <w:r>
        <w:rPr>
          <w:rFonts w:ascii="Arial" w:cs="Arial" w:eastAsia="Arial" w:hAnsi="Arial"/>
          <w:sz w:val="16"/>
          <w:szCs w:val="16"/>
          <w:color w:val="auto"/>
        </w:rPr>
        <w:t>See item 12 of Part III with respect to “Equity Compensation Plan Summary.”</w:t>
      </w:r>
    </w:p>
    <w:p>
      <w:pPr>
        <w:spacing w:after="0" w:line="168" w:lineRule="exact"/>
        <w:rPr>
          <w:sz w:val="20"/>
          <w:szCs w:val="20"/>
          <w:color w:val="auto"/>
        </w:rPr>
      </w:pPr>
    </w:p>
    <w:p>
      <w:pPr>
        <w:ind w:left="940" w:right="1639"/>
        <w:spacing w:after="0" w:line="242" w:lineRule="auto"/>
        <w:rPr>
          <w:sz w:val="20"/>
          <w:szCs w:val="20"/>
          <w:color w:val="auto"/>
        </w:rPr>
      </w:pPr>
      <w:r>
        <w:rPr>
          <w:rFonts w:ascii="Arial" w:cs="Arial" w:eastAsia="Arial" w:hAnsi="Arial"/>
          <w:sz w:val="16"/>
          <w:szCs w:val="16"/>
          <w:color w:val="auto"/>
        </w:rPr>
        <w:t>Stock Performance Graph: The following graph depicts the cumulative total return on the Company’s common stock compared to the cumulative total return on the Nasdaq Composite Index (all U.S. companies) and the Dow Jones U.S. Auto Parts Index (excluding tire and rubber makers). The graph assumes an investment of $100 on the last trading day of 2004, and reinvestment of dividends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92710</wp:posOffset>
            </wp:positionV>
            <wp:extent cx="5400675" cy="26003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00675" cy="2600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940" w:right="1679"/>
        <w:spacing w:after="0"/>
        <w:rPr>
          <w:sz w:val="20"/>
          <w:szCs w:val="20"/>
          <w:color w:val="auto"/>
        </w:rPr>
      </w:pPr>
      <w:r>
        <w:rPr>
          <w:rFonts w:ascii="Arial" w:cs="Arial" w:eastAsia="Arial" w:hAnsi="Arial"/>
          <w:sz w:val="16"/>
          <w:szCs w:val="16"/>
          <w:color w:val="auto"/>
        </w:rPr>
        <w:t>In August 2007, the Company’s Board of Directors approved a continuing resolution to pay a quarterly dividend at an increased rate of $0.105 per share until the Board takes other action with respect to the payment of dividends. In August 2008, the Company’s Board of Directors approved a continuing resolution to pay a quarterly dividend at an increased rate of $0.11 per share until the Board takes other action with respect to the payment of dividends. Based on current U.S. income tax laws, the Company intends to continue to pay a quarterly cash dividend and will consider future dividend rate adjustments based on the Company’s profitability, cash flow, liquidity and other business factors.</w:t>
      </w:r>
    </w:p>
    <w:p>
      <w:pPr>
        <w:spacing w:after="0" w:line="134" w:lineRule="exact"/>
        <w:rPr>
          <w:sz w:val="20"/>
          <w:szCs w:val="20"/>
          <w:color w:val="auto"/>
        </w:rPr>
      </w:pPr>
    </w:p>
    <w:p>
      <w:pPr>
        <w:ind w:left="940" w:hanging="323"/>
        <w:spacing w:after="0"/>
        <w:tabs>
          <w:tab w:leader="none" w:pos="9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Not applicable.</w:t>
      </w:r>
    </w:p>
    <w:p>
      <w:pPr>
        <w:spacing w:after="0" w:line="144" w:lineRule="exact"/>
        <w:rPr>
          <w:rFonts w:ascii="Arial" w:cs="Arial" w:eastAsia="Arial" w:hAnsi="Arial"/>
          <w:sz w:val="16"/>
          <w:szCs w:val="16"/>
          <w:color w:val="auto"/>
        </w:rPr>
      </w:pPr>
    </w:p>
    <w:p>
      <w:pPr>
        <w:ind w:left="940" w:right="1599" w:hanging="323"/>
        <w:spacing w:after="0" w:line="239" w:lineRule="auto"/>
        <w:tabs>
          <w:tab w:leader="none" w:pos="9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On October 8, 2002, the Company announced a share repurchase plan, under which it may purchase up to 8,000,000 shares (post-split) based on a number of factors, including market and business conditions, the market price of the Company’s common stock, anti-dilutive effect on earnings, available cash and other factors that the Company deems appropriate. This share repurchase plan does not have an expiration date. On July, 2005, the Company announced that it had raised the price at which the Company may repurchase shares under the existing plan. On May 16, 2006, the Company announced that the Company’s Board of Directors had authorized the repurchase of an additional 8,000,000 shares under the plan. On August 14, 2006, the Company announced that the Company’s Board of Directors had authorized the repurchase of an additional 8,000,000 shares under the plan. On February 26, 2008, the Company announced that the Company’s Board of Directors had authorized the repurchase of an additional 4,000,000 shares under the plan. Approximately 1,972,000 shares remain authorized to be repurchased under the plan.</w:t>
      </w:r>
    </w:p>
    <w:p>
      <w:pPr>
        <w:spacing w:after="0" w:line="140" w:lineRule="exact"/>
        <w:rPr>
          <w:sz w:val="20"/>
          <w:szCs w:val="20"/>
          <w:color w:val="auto"/>
        </w:rPr>
      </w:pPr>
    </w:p>
    <w:tbl>
      <w:tblPr>
        <w:tblLayout w:type="fixed"/>
        <w:tblInd w:w="280" w:type="dxa"/>
        <w:tblCellMar>
          <w:top w:w="0" w:type="dxa"/>
          <w:left w:w="0" w:type="dxa"/>
          <w:bottom w:w="0" w:type="dxa"/>
          <w:right w:w="0" w:type="dxa"/>
        </w:tblCellMar>
      </w:tblPr>
      <w:tr>
        <w:trPr>
          <w:trHeight w:val="215"/>
        </w:trPr>
        <w:tc>
          <w:tcPr>
            <w:tcW w:w="2800" w:type="dxa"/>
            <w:vAlign w:val="bottom"/>
          </w:tcPr>
          <w:p>
            <w:pPr>
              <w:spacing w:after="0"/>
              <w:rPr>
                <w:sz w:val="20"/>
                <w:szCs w:val="20"/>
                <w:color w:val="auto"/>
              </w:rPr>
            </w:pPr>
            <w:r>
              <w:rPr>
                <w:rFonts w:ascii="Arial" w:cs="Arial" w:eastAsia="Arial" w:hAnsi="Arial"/>
                <w:sz w:val="16"/>
                <w:szCs w:val="16"/>
                <w:b w:val="1"/>
                <w:bCs w:val="1"/>
                <w:color w:val="auto"/>
              </w:rPr>
              <w:t>Item 6. Selected Financial Data.</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340"/>
        </w:trPr>
        <w:tc>
          <w:tcPr>
            <w:tcW w:w="2800" w:type="dxa"/>
            <w:vAlign w:val="bottom"/>
          </w:tcPr>
          <w:p>
            <w:pPr>
              <w:spacing w:after="0"/>
              <w:rPr>
                <w:sz w:val="24"/>
                <w:szCs w:val="24"/>
                <w:color w:val="auto"/>
              </w:rPr>
            </w:pPr>
          </w:p>
        </w:tc>
        <w:tc>
          <w:tcPr>
            <w:tcW w:w="3520" w:type="dxa"/>
            <w:vAlign w:val="bottom"/>
            <w:gridSpan w:val="9"/>
          </w:tcPr>
          <w:p>
            <w:pPr>
              <w:jc w:val="right"/>
              <w:ind w:right="780"/>
              <w:spacing w:after="0"/>
              <w:rPr>
                <w:sz w:val="20"/>
                <w:szCs w:val="20"/>
                <w:color w:val="auto"/>
              </w:rPr>
            </w:pPr>
            <w:r>
              <w:rPr>
                <w:rFonts w:ascii="Arial" w:cs="Arial" w:eastAsia="Arial" w:hAnsi="Arial"/>
                <w:sz w:val="16"/>
                <w:szCs w:val="16"/>
                <w:color w:val="auto"/>
              </w:rPr>
              <w:t>(in thousands, except per share data)</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3"/>
        </w:trPr>
        <w:tc>
          <w:tcPr>
            <w:tcW w:w="2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2009</w:t>
            </w: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2008</w:t>
            </w:r>
          </w:p>
        </w:tc>
        <w:tc>
          <w:tcPr>
            <w:tcW w:w="3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2007</w:t>
            </w:r>
          </w:p>
        </w:tc>
        <w:tc>
          <w:tcPr>
            <w:tcW w:w="3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2006</w:t>
            </w:r>
          </w:p>
        </w:tc>
        <w:tc>
          <w:tcPr>
            <w:tcW w:w="3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2005</w:t>
            </w:r>
          </w:p>
        </w:tc>
        <w:tc>
          <w:tcPr>
            <w:tcW w:w="60" w:type="dxa"/>
            <w:vAlign w:val="bottom"/>
          </w:tcPr>
          <w:p>
            <w:pPr>
              <w:spacing w:after="0"/>
              <w:rPr>
                <w:sz w:val="24"/>
                <w:szCs w:val="24"/>
                <w:color w:val="auto"/>
              </w:rPr>
            </w:pPr>
          </w:p>
        </w:tc>
      </w:tr>
      <w:tr>
        <w:trPr>
          <w:trHeight w:val="174"/>
        </w:trPr>
        <w:tc>
          <w:tcPr>
            <w:tcW w:w="2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28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Net Sales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544,523</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623,800</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653,933</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572,267</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536,484</w:t>
            </w:r>
          </w:p>
        </w:tc>
      </w:tr>
      <w:tr>
        <w:trPr>
          <w:trHeight w:val="365"/>
        </w:trPr>
        <w:tc>
          <w:tcPr>
            <w:tcW w:w="2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tcPr>
          <w:p>
            <w:pPr>
              <w:spacing w:after="0"/>
              <w:rPr>
                <w:sz w:val="24"/>
                <w:szCs w:val="2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64,637</w:t>
            </w:r>
          </w:p>
        </w:tc>
        <w:tc>
          <w:tcPr>
            <w:tcW w:w="18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62,088</w:t>
            </w:r>
          </w:p>
        </w:tc>
        <w:tc>
          <w:tcPr>
            <w:tcW w:w="18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122,130</w:t>
            </w:r>
          </w:p>
        </w:tc>
        <w:tc>
          <w:tcPr>
            <w:tcW w:w="160" w:type="dxa"/>
            <w:vAlign w:val="bottom"/>
          </w:tcPr>
          <w:p>
            <w:pPr>
              <w:spacing w:after="0"/>
              <w:rPr>
                <w:sz w:val="24"/>
                <w:szCs w:val="2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108,761</w:t>
            </w:r>
          </w:p>
        </w:tc>
        <w:tc>
          <w:tcPr>
            <w:tcW w:w="180" w:type="dxa"/>
            <w:vAlign w:val="bottom"/>
          </w:tcPr>
          <w:p>
            <w:pPr>
              <w:spacing w:after="0"/>
              <w:rPr>
                <w:sz w:val="24"/>
                <w:szCs w:val="2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109,528</w:t>
            </w:r>
          </w:p>
        </w:tc>
      </w:tr>
      <w:tr>
        <w:trPr>
          <w:trHeight w:val="187"/>
        </w:trPr>
        <w:tc>
          <w:tcPr>
            <w:tcW w:w="28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28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Earnings Per Share*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0.47</w:t>
            </w: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0.44</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0.85</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0.73</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0.70</w:t>
            </w:r>
          </w:p>
        </w:tc>
      </w:tr>
      <w:tr>
        <w:trPr>
          <w:trHeight w:val="368"/>
        </w:trPr>
        <w:tc>
          <w:tcPr>
            <w:tcW w:w="2800" w:type="dxa"/>
            <w:vAlign w:val="bottom"/>
          </w:tcPr>
          <w:p>
            <w:pPr>
              <w:ind w:left="20"/>
              <w:spacing w:after="0"/>
              <w:rPr>
                <w:sz w:val="20"/>
                <w:szCs w:val="20"/>
                <w:color w:val="auto"/>
              </w:rPr>
            </w:pPr>
            <w:r>
              <w:rPr>
                <w:rFonts w:ascii="Arial" w:cs="Arial" w:eastAsia="Arial" w:hAnsi="Arial"/>
                <w:sz w:val="16"/>
                <w:szCs w:val="16"/>
                <w:color w:val="auto"/>
              </w:rPr>
              <w:t>Cash Dividends Declared per</w:t>
            </w: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5"/>
        </w:trPr>
        <w:tc>
          <w:tcPr>
            <w:tcW w:w="2800" w:type="dxa"/>
            <w:vAlign w:val="bottom"/>
          </w:tcPr>
          <w:p>
            <w:pPr>
              <w:ind w:left="200"/>
              <w:spacing w:after="0"/>
              <w:rPr>
                <w:sz w:val="20"/>
                <w:szCs w:val="20"/>
                <w:color w:val="auto"/>
              </w:rPr>
            </w:pPr>
            <w:r>
              <w:rPr>
                <w:rFonts w:ascii="Arial" w:cs="Arial" w:eastAsia="Arial" w:hAnsi="Arial"/>
                <w:sz w:val="16"/>
                <w:szCs w:val="16"/>
                <w:color w:val="auto"/>
              </w:rPr>
              <w:t>Common Share*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0.44</w:t>
            </w:r>
          </w:p>
        </w:tc>
        <w:tc>
          <w:tcPr>
            <w:tcW w:w="32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0.43</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0.40</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0.37</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0.35</w:t>
            </w:r>
          </w:p>
        </w:tc>
      </w:tr>
      <w:tr>
        <w:trPr>
          <w:trHeight w:val="171"/>
        </w:trPr>
        <w:tc>
          <w:tcPr>
            <w:tcW w:w="2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2"/>
        </w:trPr>
        <w:tc>
          <w:tcPr>
            <w:tcW w:w="28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Total Assets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822,603</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763,103</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898,023</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785,028</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922,646</w:t>
            </w:r>
          </w:p>
        </w:tc>
      </w:tr>
      <w:tr>
        <w:trPr>
          <w:trHeight w:val="368"/>
        </w:trPr>
        <w:tc>
          <w:tcPr>
            <w:tcW w:w="2800" w:type="dxa"/>
            <w:vAlign w:val="bottom"/>
          </w:tcPr>
          <w:p>
            <w:pPr>
              <w:ind w:left="20"/>
              <w:spacing w:after="0"/>
              <w:rPr>
                <w:sz w:val="20"/>
                <w:szCs w:val="20"/>
                <w:color w:val="auto"/>
              </w:rPr>
            </w:pPr>
            <w:r>
              <w:rPr>
                <w:rFonts w:ascii="Arial" w:cs="Arial" w:eastAsia="Arial" w:hAnsi="Arial"/>
                <w:sz w:val="16"/>
                <w:szCs w:val="16"/>
                <w:color w:val="auto"/>
              </w:rPr>
              <w:t>Long-Term Debt Outstanding at</w:t>
            </w:r>
          </w:p>
        </w:tc>
        <w:tc>
          <w:tcPr>
            <w:tcW w:w="1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3"/>
        </w:trPr>
        <w:tc>
          <w:tcPr>
            <w:tcW w:w="2800" w:type="dxa"/>
            <w:vAlign w:val="bottom"/>
          </w:tcPr>
          <w:p>
            <w:pPr>
              <w:ind w:left="200"/>
              <w:spacing w:after="0"/>
              <w:rPr>
                <w:sz w:val="20"/>
                <w:szCs w:val="20"/>
                <w:color w:val="auto"/>
              </w:rPr>
            </w:pPr>
            <w:r>
              <w:rPr>
                <w:rFonts w:ascii="Arial" w:cs="Arial" w:eastAsia="Arial" w:hAnsi="Arial"/>
                <w:sz w:val="16"/>
                <w:szCs w:val="16"/>
                <w:color w:val="auto"/>
              </w:rPr>
              <w:t>Year End</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
        </w:trPr>
        <w:tc>
          <w:tcPr>
            <w:tcW w:w="2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600" w:hanging="311"/>
        <w:spacing w:after="0"/>
        <w:tabs>
          <w:tab w:leader="none" w:pos="6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for 2-for-1 stock split in May 2005.</w:t>
      </w:r>
    </w:p>
    <w:p>
      <w:pPr>
        <w:spacing w:after="0" w:line="156" w:lineRule="exact"/>
        <w:rPr>
          <w:sz w:val="20"/>
          <w:szCs w:val="20"/>
          <w:color w:val="auto"/>
        </w:rPr>
      </w:pPr>
    </w:p>
    <w:p>
      <w:pPr>
        <w:ind w:left="280" w:right="1559"/>
        <w:spacing w:after="0" w:line="242" w:lineRule="auto"/>
        <w:rPr>
          <w:sz w:val="20"/>
          <w:szCs w:val="20"/>
          <w:color w:val="auto"/>
        </w:rPr>
      </w:pPr>
      <w:r>
        <w:rPr>
          <w:rFonts w:ascii="Arial" w:cs="Arial" w:eastAsia="Arial" w:hAnsi="Arial"/>
          <w:sz w:val="16"/>
          <w:szCs w:val="16"/>
          <w:color w:val="auto"/>
        </w:rPr>
        <w:t>Effective January 1, 2006, the Company adopted Accounting Standards Codification (“ASC”) 718, “Share-Based Payment” utilizing the modified prospective approach. Prior to the adoption of ASC 718, we did not recognize compensation expense for stock option grants in net income. Therefore, net income and earnings per share amounts reflect the impact of stock option compensation expense beginning in 2006.</w:t>
      </w:r>
    </w:p>
    <w:p>
      <w:pPr>
        <w:spacing w:after="0" w:line="200" w:lineRule="exact"/>
        <w:rPr>
          <w:sz w:val="20"/>
          <w:szCs w:val="20"/>
          <w:color w:val="auto"/>
        </w:rPr>
      </w:pPr>
    </w:p>
    <w:p>
      <w:pPr>
        <w:spacing w:after="0" w:line="29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20" w:name="page21"/>
    <w:bookmarkEnd w:id="2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Item 7. Management’s Discussion and Analysis of Financial Condition and Results of Operations.</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Results of Operations.</w:t>
      </w:r>
    </w:p>
    <w:p>
      <w:pPr>
        <w:spacing w:after="0" w:line="176" w:lineRule="exact"/>
        <w:rPr>
          <w:sz w:val="20"/>
          <w:szCs w:val="20"/>
          <w:color w:val="auto"/>
        </w:rPr>
      </w:pPr>
    </w:p>
    <w:p>
      <w:pPr>
        <w:ind w:left="280" w:right="1599"/>
        <w:spacing w:after="0" w:line="244" w:lineRule="auto"/>
        <w:rPr>
          <w:sz w:val="20"/>
          <w:szCs w:val="20"/>
          <w:color w:val="auto"/>
        </w:rPr>
      </w:pPr>
      <w:r>
        <w:rPr>
          <w:rFonts w:ascii="Arial" w:cs="Arial" w:eastAsia="Arial" w:hAnsi="Arial"/>
          <w:sz w:val="16"/>
          <w:szCs w:val="16"/>
          <w:color w:val="auto"/>
        </w:rPr>
        <w:t>The following table sets forth for the periods indicated certain items from the Company’s Consolidated Statements of Income expressed as a percentage of net sales and the percentage change in the dollar amount of each such item from that in the indicated previous year.</w:t>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2540" w:type="dxa"/>
            <w:vAlign w:val="bottom"/>
            <w:gridSpan w:val="5"/>
          </w:tcPr>
          <w:p>
            <w:pPr>
              <w:jc w:val="center"/>
              <w:ind w:left="519"/>
              <w:spacing w:after="0"/>
              <w:rPr>
                <w:sz w:val="20"/>
                <w:szCs w:val="20"/>
                <w:color w:val="auto"/>
              </w:rPr>
            </w:pPr>
            <w:r>
              <w:rPr>
                <w:rFonts w:ascii="Arial" w:cs="Arial" w:eastAsia="Arial" w:hAnsi="Arial"/>
                <w:sz w:val="16"/>
                <w:szCs w:val="16"/>
                <w:color w:val="auto"/>
              </w:rPr>
              <w:t>Percentage of Net Sales</w:t>
            </w:r>
          </w:p>
        </w:tc>
        <w:tc>
          <w:tcPr>
            <w:tcW w:w="6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80" w:type="dxa"/>
            <w:vAlign w:val="bottom"/>
            <w:gridSpan w:val="4"/>
          </w:tcPr>
          <w:p>
            <w:pPr>
              <w:jc w:val="right"/>
              <w:ind w:right="520"/>
              <w:spacing w:after="0"/>
              <w:rPr>
                <w:sz w:val="20"/>
                <w:szCs w:val="20"/>
                <w:color w:val="auto"/>
              </w:rPr>
            </w:pPr>
            <w:r>
              <w:rPr>
                <w:rFonts w:ascii="Arial" w:cs="Arial" w:eastAsia="Arial" w:hAnsi="Arial"/>
                <w:sz w:val="16"/>
                <w:szCs w:val="16"/>
                <w:color w:val="auto"/>
              </w:rPr>
              <w:t>Percentage Change</w:t>
            </w:r>
          </w:p>
        </w:tc>
        <w:tc>
          <w:tcPr>
            <w:tcW w:w="0" w:type="dxa"/>
            <w:vAlign w:val="bottom"/>
          </w:tcPr>
          <w:p>
            <w:pPr>
              <w:spacing w:after="0"/>
              <w:rPr>
                <w:sz w:val="1"/>
                <w:szCs w:val="1"/>
                <w:color w:val="auto"/>
              </w:rPr>
            </w:pPr>
          </w:p>
        </w:tc>
      </w:tr>
      <w:tr>
        <w:trPr>
          <w:trHeight w:val="186"/>
        </w:trPr>
        <w:tc>
          <w:tcPr>
            <w:tcW w:w="2600" w:type="dxa"/>
            <w:vAlign w:val="bottom"/>
          </w:tcPr>
          <w:p>
            <w:pPr>
              <w:spacing w:after="0"/>
              <w:rPr>
                <w:sz w:val="16"/>
                <w:szCs w:val="16"/>
                <w:color w:val="auto"/>
              </w:rPr>
            </w:pPr>
          </w:p>
        </w:tc>
        <w:tc>
          <w:tcPr>
            <w:tcW w:w="2540" w:type="dxa"/>
            <w:vAlign w:val="bottom"/>
            <w:tcBorders>
              <w:top w:val="single" w:sz="8" w:color="auto"/>
            </w:tcBorders>
            <w:gridSpan w:val="5"/>
            <w:vMerge w:val="restart"/>
          </w:tcPr>
          <w:p>
            <w:pPr>
              <w:jc w:val="center"/>
              <w:ind w:left="519"/>
              <w:spacing w:after="0"/>
              <w:rPr>
                <w:sz w:val="20"/>
                <w:szCs w:val="20"/>
                <w:color w:val="auto"/>
              </w:rPr>
            </w:pPr>
            <w:r>
              <w:rPr>
                <w:rFonts w:ascii="Arial" w:cs="Arial" w:eastAsia="Arial" w:hAnsi="Arial"/>
                <w:sz w:val="16"/>
                <w:szCs w:val="16"/>
                <w:color w:val="auto"/>
              </w:rPr>
              <w:t>Year Ended December 31,</w:t>
            </w:r>
          </w:p>
        </w:tc>
        <w:tc>
          <w:tcPr>
            <w:tcW w:w="600" w:type="dxa"/>
            <w:vAlign w:val="bottom"/>
            <w:tcBorders>
              <w:top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82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2009</w:t>
            </w:r>
          </w:p>
        </w:tc>
        <w:tc>
          <w:tcPr>
            <w:tcW w:w="4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2008</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600" w:type="dxa"/>
            <w:vAlign w:val="bottom"/>
          </w:tcPr>
          <w:p>
            <w:pPr>
              <w:spacing w:after="0"/>
              <w:rPr>
                <w:sz w:val="14"/>
                <w:szCs w:val="14"/>
                <w:color w:val="auto"/>
              </w:rPr>
            </w:pPr>
          </w:p>
        </w:tc>
        <w:tc>
          <w:tcPr>
            <w:tcW w:w="2540" w:type="dxa"/>
            <w:vAlign w:val="bottom"/>
            <w:tcBorders>
              <w:bottom w:val="single" w:sz="8" w:color="auto"/>
            </w:tcBorders>
            <w:gridSpan w:val="5"/>
            <w:vMerge w:val="continue"/>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gridSpan w:val="2"/>
          </w:tcPr>
          <w:p>
            <w:pPr>
              <w:jc w:val="right"/>
              <w:ind w:right="780"/>
              <w:spacing w:after="0" w:line="171" w:lineRule="exact"/>
              <w:rPr>
                <w:sz w:val="20"/>
                <w:szCs w:val="20"/>
                <w:color w:val="auto"/>
              </w:rPr>
            </w:pPr>
            <w:r>
              <w:rPr>
                <w:rFonts w:ascii="Arial" w:cs="Arial" w:eastAsia="Arial" w:hAnsi="Arial"/>
                <w:sz w:val="16"/>
                <w:szCs w:val="16"/>
                <w:color w:val="auto"/>
              </w:rPr>
              <w:t>to</w:t>
            </w:r>
          </w:p>
        </w:tc>
        <w:tc>
          <w:tcPr>
            <w:tcW w:w="1020" w:type="dxa"/>
            <w:vAlign w:val="bottom"/>
            <w:gridSpan w:val="2"/>
          </w:tcPr>
          <w:p>
            <w:pPr>
              <w:jc w:val="right"/>
              <w:ind w:right="540"/>
              <w:spacing w:after="0" w:line="171" w:lineRule="exact"/>
              <w:rPr>
                <w:sz w:val="20"/>
                <w:szCs w:val="20"/>
                <w:color w:val="auto"/>
              </w:rPr>
            </w:pPr>
            <w:r>
              <w:rPr>
                <w:rFonts w:ascii="Arial" w:cs="Arial" w:eastAsia="Arial" w:hAnsi="Arial"/>
                <w:sz w:val="16"/>
                <w:szCs w:val="16"/>
                <w:color w:val="auto"/>
              </w:rPr>
              <w:t>to</w:t>
            </w:r>
          </w:p>
        </w:tc>
        <w:tc>
          <w:tcPr>
            <w:tcW w:w="0" w:type="dxa"/>
            <w:vAlign w:val="bottom"/>
          </w:tcPr>
          <w:p>
            <w:pPr>
              <w:spacing w:after="0"/>
              <w:rPr>
                <w:sz w:val="1"/>
                <w:szCs w:val="1"/>
                <w:color w:val="auto"/>
              </w:rPr>
            </w:pPr>
          </w:p>
        </w:tc>
      </w:tr>
      <w:tr>
        <w:trPr>
          <w:trHeight w:val="174"/>
        </w:trPr>
        <w:tc>
          <w:tcPr>
            <w:tcW w:w="2600" w:type="dxa"/>
            <w:vAlign w:val="bottom"/>
          </w:tcPr>
          <w:p>
            <w:pPr>
              <w:spacing w:after="0"/>
              <w:rPr>
                <w:sz w:val="15"/>
                <w:szCs w:val="15"/>
                <w:color w:val="auto"/>
              </w:rPr>
            </w:pPr>
          </w:p>
        </w:tc>
        <w:tc>
          <w:tcPr>
            <w:tcW w:w="780" w:type="dxa"/>
            <w:vAlign w:val="bottom"/>
            <w:tcBorders>
              <w:bottom w:val="single" w:sz="8" w:color="auto"/>
            </w:tcBorders>
          </w:tcPr>
          <w:p>
            <w:pPr>
              <w:jc w:val="right"/>
              <w:ind w:right="119"/>
              <w:spacing w:after="0" w:line="175" w:lineRule="exact"/>
              <w:rPr>
                <w:sz w:val="20"/>
                <w:szCs w:val="20"/>
                <w:color w:val="auto"/>
              </w:rPr>
            </w:pPr>
            <w:r>
              <w:rPr>
                <w:rFonts w:ascii="Arial" w:cs="Arial" w:eastAsia="Arial" w:hAnsi="Arial"/>
                <w:sz w:val="16"/>
                <w:szCs w:val="16"/>
                <w:color w:val="auto"/>
              </w:rPr>
              <w:t>2009</w:t>
            </w:r>
          </w:p>
        </w:tc>
        <w:tc>
          <w:tcPr>
            <w:tcW w:w="380" w:type="dxa"/>
            <w:vAlign w:val="bottom"/>
          </w:tcPr>
          <w:p>
            <w:pPr>
              <w:spacing w:after="0"/>
              <w:rPr>
                <w:sz w:val="15"/>
                <w:szCs w:val="15"/>
                <w:color w:val="auto"/>
              </w:rPr>
            </w:pPr>
          </w:p>
        </w:tc>
        <w:tc>
          <w:tcPr>
            <w:tcW w:w="800" w:type="dxa"/>
            <w:vAlign w:val="bottom"/>
            <w:tcBorders>
              <w:bottom w:val="single" w:sz="8" w:color="auto"/>
            </w:tcBorders>
          </w:tcPr>
          <w:p>
            <w:pPr>
              <w:jc w:val="center"/>
              <w:spacing w:after="0" w:line="175" w:lineRule="exact"/>
              <w:rPr>
                <w:sz w:val="20"/>
                <w:szCs w:val="20"/>
                <w:color w:val="auto"/>
              </w:rPr>
            </w:pPr>
            <w:r>
              <w:rPr>
                <w:rFonts w:ascii="Arial" w:cs="Arial" w:eastAsia="Arial" w:hAnsi="Arial"/>
                <w:sz w:val="16"/>
                <w:szCs w:val="16"/>
                <w:color w:val="auto"/>
              </w:rPr>
              <w:t>2008</w:t>
            </w:r>
          </w:p>
        </w:tc>
        <w:tc>
          <w:tcPr>
            <w:tcW w:w="3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9"/>
              <w:spacing w:after="0" w:line="175" w:lineRule="exact"/>
              <w:rPr>
                <w:sz w:val="20"/>
                <w:szCs w:val="20"/>
                <w:color w:val="auto"/>
              </w:rPr>
            </w:pPr>
            <w:r>
              <w:rPr>
                <w:rFonts w:ascii="Arial" w:cs="Arial" w:eastAsia="Arial" w:hAnsi="Arial"/>
                <w:sz w:val="16"/>
                <w:szCs w:val="16"/>
                <w:color w:val="auto"/>
              </w:rPr>
              <w:t>2007</w:t>
            </w:r>
          </w:p>
        </w:tc>
        <w:tc>
          <w:tcPr>
            <w:tcW w:w="380" w:type="dxa"/>
            <w:vAlign w:val="bottom"/>
          </w:tcPr>
          <w:p>
            <w:pPr>
              <w:spacing w:after="0"/>
              <w:rPr>
                <w:sz w:val="15"/>
                <w:szCs w:val="15"/>
                <w:color w:val="auto"/>
              </w:rPr>
            </w:pPr>
          </w:p>
        </w:tc>
        <w:tc>
          <w:tcPr>
            <w:tcW w:w="820" w:type="dxa"/>
            <w:vAlign w:val="bottom"/>
            <w:tcBorders>
              <w:bottom w:val="single" w:sz="8" w:color="auto"/>
            </w:tcBorders>
          </w:tcPr>
          <w:p>
            <w:pPr>
              <w:jc w:val="right"/>
              <w:ind w:right="159"/>
              <w:spacing w:after="0" w:line="175" w:lineRule="exact"/>
              <w:rPr>
                <w:sz w:val="20"/>
                <w:szCs w:val="20"/>
                <w:color w:val="auto"/>
              </w:rPr>
            </w:pPr>
            <w:r>
              <w:rPr>
                <w:rFonts w:ascii="Arial" w:cs="Arial" w:eastAsia="Arial" w:hAnsi="Arial"/>
                <w:sz w:val="16"/>
                <w:szCs w:val="16"/>
                <w:color w:val="auto"/>
              </w:rPr>
              <w:t>2008</w:t>
            </w:r>
          </w:p>
        </w:tc>
        <w:tc>
          <w:tcPr>
            <w:tcW w:w="440" w:type="dxa"/>
            <w:vAlign w:val="bottom"/>
          </w:tcPr>
          <w:p>
            <w:pPr>
              <w:spacing w:after="0"/>
              <w:rPr>
                <w:sz w:val="15"/>
                <w:szCs w:val="15"/>
                <w:color w:val="auto"/>
              </w:rPr>
            </w:pPr>
          </w:p>
        </w:tc>
        <w:tc>
          <w:tcPr>
            <w:tcW w:w="820" w:type="dxa"/>
            <w:vAlign w:val="bottom"/>
            <w:tcBorders>
              <w:bottom w:val="single" w:sz="8" w:color="auto"/>
            </w:tcBorders>
          </w:tcPr>
          <w:p>
            <w:pPr>
              <w:jc w:val="right"/>
              <w:ind w:right="139"/>
              <w:spacing w:after="0" w:line="175" w:lineRule="exact"/>
              <w:rPr>
                <w:sz w:val="20"/>
                <w:szCs w:val="20"/>
                <w:color w:val="auto"/>
              </w:rPr>
            </w:pPr>
            <w:r>
              <w:rPr>
                <w:rFonts w:ascii="Arial" w:cs="Arial" w:eastAsia="Arial" w:hAnsi="Arial"/>
                <w:sz w:val="16"/>
                <w:szCs w:val="16"/>
                <w:color w:val="auto"/>
              </w:rPr>
              <w:t>2007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60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Net Sales</w:t>
            </w:r>
          </w:p>
        </w:tc>
        <w:tc>
          <w:tcPr>
            <w:tcW w:w="1160" w:type="dxa"/>
            <w:vAlign w:val="bottom"/>
            <w:gridSpan w:val="2"/>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100.0%</w:t>
            </w:r>
          </w:p>
        </w:tc>
        <w:tc>
          <w:tcPr>
            <w:tcW w:w="1180" w:type="dxa"/>
            <w:vAlign w:val="bottom"/>
            <w:gridSpan w:val="2"/>
            <w:shd w:val="clear" w:color="auto" w:fill="CCEEFF"/>
          </w:tcPr>
          <w:p>
            <w:pPr>
              <w:jc w:val="right"/>
              <w:ind w:right="240"/>
              <w:spacing w:after="0" w:line="175" w:lineRule="exact"/>
              <w:rPr>
                <w:sz w:val="20"/>
                <w:szCs w:val="20"/>
                <w:color w:val="auto"/>
              </w:rPr>
            </w:pPr>
            <w:r>
              <w:rPr>
                <w:rFonts w:ascii="Arial" w:cs="Arial" w:eastAsia="Arial" w:hAnsi="Arial"/>
                <w:sz w:val="16"/>
                <w:szCs w:val="16"/>
                <w:color w:val="auto"/>
              </w:rPr>
              <w:t>100.0%</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line="175" w:lineRule="exact"/>
              <w:rPr>
                <w:sz w:val="20"/>
                <w:szCs w:val="20"/>
                <w:color w:val="auto"/>
              </w:rPr>
            </w:pPr>
            <w:r>
              <w:rPr>
                <w:rFonts w:ascii="Arial" w:cs="Arial" w:eastAsia="Arial" w:hAnsi="Arial"/>
                <w:sz w:val="16"/>
                <w:szCs w:val="16"/>
                <w:color w:val="auto"/>
              </w:rPr>
              <w:t>100.0%</w:t>
            </w:r>
          </w:p>
        </w:tc>
        <w:tc>
          <w:tcPr>
            <w:tcW w:w="1260" w:type="dxa"/>
            <w:vAlign w:val="bottom"/>
            <w:gridSpan w:val="2"/>
            <w:shd w:val="clear" w:color="auto" w:fill="CCEEFF"/>
          </w:tcPr>
          <w:p>
            <w:pPr>
              <w:jc w:val="right"/>
              <w:ind w:right="240"/>
              <w:spacing w:after="0" w:line="175" w:lineRule="exact"/>
              <w:rPr>
                <w:sz w:val="20"/>
                <w:szCs w:val="20"/>
                <w:color w:val="auto"/>
              </w:rPr>
            </w:pPr>
            <w:r>
              <w:rPr>
                <w:rFonts w:ascii="Arial" w:cs="Arial" w:eastAsia="Arial" w:hAnsi="Arial"/>
                <w:sz w:val="16"/>
                <w:szCs w:val="16"/>
                <w:color w:val="auto"/>
              </w:rPr>
              <w:t>(12.7%)</w:t>
            </w:r>
          </w:p>
        </w:tc>
        <w:tc>
          <w:tcPr>
            <w:tcW w:w="10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182"/>
        </w:trPr>
        <w:tc>
          <w:tcPr>
            <w:tcW w:w="2600" w:type="dxa"/>
            <w:vAlign w:val="bottom"/>
          </w:tcPr>
          <w:p>
            <w:pPr>
              <w:ind w:left="20"/>
              <w:spacing w:after="0" w:line="182" w:lineRule="exact"/>
              <w:rPr>
                <w:sz w:val="20"/>
                <w:szCs w:val="20"/>
                <w:color w:val="auto"/>
              </w:rPr>
            </w:pPr>
            <w:r>
              <w:rPr>
                <w:rFonts w:ascii="Arial" w:cs="Arial" w:eastAsia="Arial" w:hAnsi="Arial"/>
                <w:sz w:val="16"/>
                <w:szCs w:val="16"/>
                <w:color w:val="auto"/>
              </w:rPr>
              <w:t>Cost of Goods Sold</w:t>
            </w:r>
          </w:p>
        </w:tc>
        <w:tc>
          <w:tcPr>
            <w:tcW w:w="1160" w:type="dxa"/>
            <w:vAlign w:val="bottom"/>
            <w:gridSpan w:val="2"/>
          </w:tcPr>
          <w:p>
            <w:pPr>
              <w:jc w:val="right"/>
              <w:ind w:right="380"/>
              <w:spacing w:after="0" w:line="182" w:lineRule="exact"/>
              <w:rPr>
                <w:sz w:val="20"/>
                <w:szCs w:val="20"/>
                <w:color w:val="auto"/>
              </w:rPr>
            </w:pPr>
            <w:r>
              <w:rPr>
                <w:rFonts w:ascii="Arial" w:cs="Arial" w:eastAsia="Arial" w:hAnsi="Arial"/>
                <w:sz w:val="16"/>
                <w:szCs w:val="16"/>
                <w:color w:val="auto"/>
              </w:rPr>
              <w:t>67.4</w:t>
            </w:r>
          </w:p>
        </w:tc>
        <w:tc>
          <w:tcPr>
            <w:tcW w:w="1180" w:type="dxa"/>
            <w:vAlign w:val="bottom"/>
            <w:gridSpan w:val="2"/>
          </w:tcPr>
          <w:p>
            <w:pPr>
              <w:jc w:val="right"/>
              <w:ind w:right="380"/>
              <w:spacing w:after="0" w:line="182" w:lineRule="exact"/>
              <w:rPr>
                <w:sz w:val="20"/>
                <w:szCs w:val="20"/>
                <w:color w:val="auto"/>
              </w:rPr>
            </w:pPr>
            <w:r>
              <w:rPr>
                <w:rFonts w:ascii="Arial" w:cs="Arial" w:eastAsia="Arial" w:hAnsi="Arial"/>
                <w:sz w:val="16"/>
                <w:szCs w:val="16"/>
                <w:color w:val="auto"/>
              </w:rPr>
              <w:t>67.4</w:t>
            </w:r>
          </w:p>
        </w:tc>
        <w:tc>
          <w:tcPr>
            <w:tcW w:w="200" w:type="dxa"/>
            <w:vAlign w:val="bottom"/>
          </w:tcPr>
          <w:p>
            <w:pPr>
              <w:spacing w:after="0"/>
              <w:rPr>
                <w:sz w:val="15"/>
                <w:szCs w:val="15"/>
                <w:color w:val="auto"/>
              </w:rPr>
            </w:pPr>
          </w:p>
        </w:tc>
        <w:tc>
          <w:tcPr>
            <w:tcW w:w="980" w:type="dxa"/>
            <w:vAlign w:val="bottom"/>
            <w:gridSpan w:val="2"/>
          </w:tcPr>
          <w:p>
            <w:pPr>
              <w:jc w:val="right"/>
              <w:ind w:right="380"/>
              <w:spacing w:after="0" w:line="182" w:lineRule="exact"/>
              <w:rPr>
                <w:sz w:val="20"/>
                <w:szCs w:val="20"/>
                <w:color w:val="auto"/>
              </w:rPr>
            </w:pPr>
            <w:r>
              <w:rPr>
                <w:rFonts w:ascii="Arial" w:cs="Arial" w:eastAsia="Arial" w:hAnsi="Arial"/>
                <w:sz w:val="16"/>
                <w:szCs w:val="16"/>
                <w:color w:val="auto"/>
              </w:rPr>
              <w:t>65.2</w:t>
            </w:r>
          </w:p>
        </w:tc>
        <w:tc>
          <w:tcPr>
            <w:tcW w:w="1260" w:type="dxa"/>
            <w:vAlign w:val="bottom"/>
            <w:gridSpan w:val="2"/>
          </w:tcPr>
          <w:p>
            <w:pPr>
              <w:jc w:val="right"/>
              <w:ind w:right="400"/>
              <w:spacing w:after="0" w:line="182" w:lineRule="exact"/>
              <w:rPr>
                <w:sz w:val="20"/>
                <w:szCs w:val="20"/>
                <w:color w:val="auto"/>
              </w:rPr>
            </w:pPr>
            <w:r>
              <w:rPr>
                <w:rFonts w:ascii="Arial" w:cs="Arial" w:eastAsia="Arial" w:hAnsi="Arial"/>
                <w:sz w:val="16"/>
                <w:szCs w:val="16"/>
                <w:color w:val="auto"/>
              </w:rPr>
              <w:t>(12.8)</w:t>
            </w:r>
          </w:p>
        </w:tc>
        <w:tc>
          <w:tcPr>
            <w:tcW w:w="102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4"/>
        </w:trPr>
        <w:tc>
          <w:tcPr>
            <w:tcW w:w="2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60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Gross Profit</w:t>
            </w:r>
          </w:p>
        </w:tc>
        <w:tc>
          <w:tcPr>
            <w:tcW w:w="116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6"/>
                <w:szCs w:val="16"/>
                <w:color w:val="auto"/>
              </w:rPr>
              <w:t>32.6</w:t>
            </w:r>
          </w:p>
        </w:tc>
        <w:tc>
          <w:tcPr>
            <w:tcW w:w="118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6"/>
                <w:szCs w:val="16"/>
                <w:color w:val="auto"/>
              </w:rPr>
              <w:t>32.6</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6"/>
                <w:szCs w:val="16"/>
                <w:color w:val="auto"/>
              </w:rPr>
              <w:t>34.8</w:t>
            </w:r>
          </w:p>
        </w:tc>
        <w:tc>
          <w:tcPr>
            <w:tcW w:w="1260" w:type="dxa"/>
            <w:vAlign w:val="bottom"/>
            <w:gridSpan w:val="2"/>
            <w:shd w:val="clear" w:color="auto" w:fill="CCEEFF"/>
          </w:tcPr>
          <w:p>
            <w:pPr>
              <w:jc w:val="right"/>
              <w:ind w:right="400"/>
              <w:spacing w:after="0" w:line="182" w:lineRule="exact"/>
              <w:rPr>
                <w:sz w:val="20"/>
                <w:szCs w:val="20"/>
                <w:color w:val="auto"/>
              </w:rPr>
            </w:pPr>
            <w:r>
              <w:rPr>
                <w:rFonts w:ascii="Arial" w:cs="Arial" w:eastAsia="Arial" w:hAnsi="Arial"/>
                <w:sz w:val="16"/>
                <w:szCs w:val="16"/>
                <w:color w:val="auto"/>
              </w:rPr>
              <w:t>(12.6)</w:t>
            </w:r>
          </w:p>
        </w:tc>
        <w:tc>
          <w:tcPr>
            <w:tcW w:w="10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182"/>
        </w:trPr>
        <w:tc>
          <w:tcPr>
            <w:tcW w:w="2600" w:type="dxa"/>
            <w:vAlign w:val="bottom"/>
          </w:tcPr>
          <w:p>
            <w:pPr>
              <w:ind w:left="20"/>
              <w:spacing w:after="0" w:line="182" w:lineRule="exact"/>
              <w:rPr>
                <w:sz w:val="20"/>
                <w:szCs w:val="20"/>
                <w:color w:val="auto"/>
              </w:rPr>
            </w:pPr>
            <w:r>
              <w:rPr>
                <w:rFonts w:ascii="Arial" w:cs="Arial" w:eastAsia="Arial" w:hAnsi="Arial"/>
                <w:sz w:val="16"/>
                <w:szCs w:val="16"/>
                <w:color w:val="auto"/>
              </w:rPr>
              <w:t>Operating Expenses:</w:t>
            </w: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600" w:type="dxa"/>
            <w:vAlign w:val="bottom"/>
            <w:shd w:val="clear" w:color="auto" w:fill="CCEEFF"/>
          </w:tcPr>
          <w:p>
            <w:pPr>
              <w:ind w:left="200"/>
              <w:spacing w:after="0" w:line="181" w:lineRule="exact"/>
              <w:rPr>
                <w:sz w:val="20"/>
                <w:szCs w:val="20"/>
                <w:color w:val="auto"/>
              </w:rPr>
            </w:pPr>
            <w:r>
              <w:rPr>
                <w:rFonts w:ascii="Arial" w:cs="Arial" w:eastAsia="Arial" w:hAnsi="Arial"/>
                <w:sz w:val="16"/>
                <w:szCs w:val="16"/>
                <w:color w:val="auto"/>
              </w:rPr>
              <w:t>Engineering, Research and</w:t>
            </w: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Development</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8.6</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8.3</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7.8</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6"/>
                <w:szCs w:val="16"/>
                <w:color w:val="auto"/>
              </w:rPr>
              <w:t>(9.2)</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1"/>
        </w:trPr>
        <w:tc>
          <w:tcPr>
            <w:tcW w:w="2600" w:type="dxa"/>
            <w:vAlign w:val="bottom"/>
          </w:tcPr>
          <w:p>
            <w:pPr>
              <w:ind w:left="200"/>
              <w:spacing w:after="0" w:line="181" w:lineRule="exact"/>
              <w:rPr>
                <w:sz w:val="20"/>
                <w:szCs w:val="20"/>
                <w:color w:val="auto"/>
              </w:rPr>
            </w:pPr>
            <w:r>
              <w:rPr>
                <w:rFonts w:ascii="Arial" w:cs="Arial" w:eastAsia="Arial" w:hAnsi="Arial"/>
                <w:sz w:val="16"/>
                <w:szCs w:val="16"/>
                <w:color w:val="auto"/>
              </w:rPr>
              <w:t>Selling, General and</w:t>
            </w: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0" w:type="dxa"/>
            <w:vAlign w:val="bottom"/>
          </w:tcPr>
          <w:p>
            <w:pPr>
              <w:ind w:left="380"/>
              <w:spacing w:after="0"/>
              <w:rPr>
                <w:sz w:val="20"/>
                <w:szCs w:val="20"/>
                <w:color w:val="auto"/>
              </w:rPr>
            </w:pPr>
            <w:r>
              <w:rPr>
                <w:rFonts w:ascii="Arial" w:cs="Arial" w:eastAsia="Arial" w:hAnsi="Arial"/>
                <w:sz w:val="16"/>
                <w:szCs w:val="16"/>
                <w:color w:val="auto"/>
              </w:rPr>
              <w:t>Administrative</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6.6</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6.8</w:t>
            </w:r>
          </w:p>
        </w:tc>
        <w:tc>
          <w:tcPr>
            <w:tcW w:w="200" w:type="dxa"/>
            <w:vAlign w:val="bottom"/>
          </w:tcPr>
          <w:p>
            <w:pPr>
              <w:spacing w:after="0"/>
              <w:rPr>
                <w:sz w:val="15"/>
                <w:szCs w:val="15"/>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6"/>
                <w:szCs w:val="16"/>
                <w:color w:val="auto"/>
              </w:rPr>
              <w:t>5.4</w:t>
            </w:r>
          </w:p>
        </w:tc>
        <w:tc>
          <w:tcPr>
            <w:tcW w:w="1260" w:type="dxa"/>
            <w:vAlign w:val="bottom"/>
            <w:gridSpan w:val="2"/>
          </w:tcPr>
          <w:p>
            <w:pPr>
              <w:jc w:val="right"/>
              <w:ind w:right="400"/>
              <w:spacing w:after="0"/>
              <w:rPr>
                <w:sz w:val="20"/>
                <w:szCs w:val="20"/>
                <w:color w:val="auto"/>
              </w:rPr>
            </w:pPr>
            <w:r>
              <w:rPr>
                <w:rFonts w:ascii="Arial" w:cs="Arial" w:eastAsia="Arial" w:hAnsi="Arial"/>
                <w:sz w:val="16"/>
                <w:szCs w:val="16"/>
                <w:color w:val="auto"/>
              </w:rPr>
              <w:t>(15.6)</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20.2</w:t>
            </w:r>
          </w:p>
        </w:tc>
        <w:tc>
          <w:tcPr>
            <w:tcW w:w="0" w:type="dxa"/>
            <w:vAlign w:val="bottom"/>
          </w:tcPr>
          <w:p>
            <w:pPr>
              <w:spacing w:after="0"/>
              <w:rPr>
                <w:sz w:val="1"/>
                <w:szCs w:val="1"/>
                <w:color w:val="auto"/>
              </w:rPr>
            </w:pPr>
          </w:p>
        </w:tc>
      </w:tr>
      <w:tr>
        <w:trPr>
          <w:trHeight w:val="182"/>
        </w:trPr>
        <w:tc>
          <w:tcPr>
            <w:tcW w:w="260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Litigation Judgment</w:t>
            </w:r>
          </w:p>
        </w:tc>
        <w:tc>
          <w:tcPr>
            <w:tcW w:w="116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6"/>
                <w:szCs w:val="16"/>
                <w:color w:val="auto"/>
              </w:rPr>
              <w:t>—</w:t>
            </w:r>
          </w:p>
        </w:tc>
        <w:tc>
          <w:tcPr>
            <w:tcW w:w="1380" w:type="dxa"/>
            <w:vAlign w:val="bottom"/>
            <w:gridSpan w:val="3"/>
            <w:shd w:val="clear" w:color="auto" w:fill="CCEEFF"/>
          </w:tcPr>
          <w:p>
            <w:pPr>
              <w:jc w:val="right"/>
              <w:ind w:right="580"/>
              <w:spacing w:after="0" w:line="182" w:lineRule="exact"/>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6"/>
                <w:szCs w:val="16"/>
                <w:color w:val="auto"/>
              </w:rPr>
              <w:t>0.4</w:t>
            </w:r>
          </w:p>
        </w:tc>
        <w:tc>
          <w:tcPr>
            <w:tcW w:w="1260" w:type="dxa"/>
            <w:vAlign w:val="bottom"/>
            <w:gridSpan w:val="2"/>
            <w:shd w:val="clear" w:color="auto" w:fill="CCEEFF"/>
          </w:tcPr>
          <w:p>
            <w:pPr>
              <w:jc w:val="right"/>
              <w:ind w:right="440"/>
              <w:spacing w:after="0" w:line="182"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60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1160" w:type="dxa"/>
            <w:vAlign w:val="bottom"/>
            <w:gridSpan w:val="2"/>
          </w:tcPr>
          <w:p>
            <w:pPr>
              <w:jc w:val="right"/>
              <w:ind w:right="380"/>
              <w:spacing w:after="0"/>
              <w:rPr>
                <w:sz w:val="20"/>
                <w:szCs w:val="20"/>
                <w:color w:val="auto"/>
              </w:rPr>
            </w:pPr>
            <w:r>
              <w:rPr>
                <w:rFonts w:ascii="Arial" w:cs="Arial" w:eastAsia="Arial" w:hAnsi="Arial"/>
                <w:sz w:val="16"/>
                <w:szCs w:val="16"/>
                <w:color w:val="auto"/>
              </w:rPr>
              <w:t>15.2</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15.1</w:t>
            </w:r>
          </w:p>
        </w:tc>
        <w:tc>
          <w:tcPr>
            <w:tcW w:w="200" w:type="dxa"/>
            <w:vAlign w:val="bottom"/>
          </w:tcPr>
          <w:p>
            <w:pPr>
              <w:spacing w:after="0"/>
              <w:rPr>
                <w:sz w:val="16"/>
                <w:szCs w:val="16"/>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6"/>
                <w:szCs w:val="16"/>
                <w:color w:val="auto"/>
              </w:rPr>
              <w:t>13.6</w:t>
            </w:r>
          </w:p>
        </w:tc>
        <w:tc>
          <w:tcPr>
            <w:tcW w:w="1260" w:type="dxa"/>
            <w:vAlign w:val="bottom"/>
            <w:gridSpan w:val="2"/>
          </w:tcPr>
          <w:p>
            <w:pPr>
              <w:jc w:val="right"/>
              <w:ind w:right="400"/>
              <w:spacing w:after="0"/>
              <w:rPr>
                <w:sz w:val="20"/>
                <w:szCs w:val="20"/>
                <w:color w:val="auto"/>
              </w:rPr>
            </w:pPr>
            <w:r>
              <w:rPr>
                <w:rFonts w:ascii="Arial" w:cs="Arial" w:eastAsia="Arial" w:hAnsi="Arial"/>
                <w:sz w:val="16"/>
                <w:szCs w:val="16"/>
                <w:color w:val="auto"/>
              </w:rPr>
              <w:t>(12.1)</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4"/>
        </w:trPr>
        <w:tc>
          <w:tcPr>
            <w:tcW w:w="2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60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Operating Income</w:t>
            </w:r>
          </w:p>
        </w:tc>
        <w:tc>
          <w:tcPr>
            <w:tcW w:w="116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6"/>
                <w:szCs w:val="16"/>
                <w:color w:val="auto"/>
              </w:rPr>
              <w:t>17.4</w:t>
            </w:r>
          </w:p>
        </w:tc>
        <w:tc>
          <w:tcPr>
            <w:tcW w:w="118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6"/>
                <w:szCs w:val="16"/>
                <w:color w:val="auto"/>
              </w:rPr>
              <w:t>17.5</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6"/>
                <w:szCs w:val="16"/>
                <w:color w:val="auto"/>
              </w:rPr>
              <w:t>21.2</w:t>
            </w:r>
          </w:p>
        </w:tc>
        <w:tc>
          <w:tcPr>
            <w:tcW w:w="1260" w:type="dxa"/>
            <w:vAlign w:val="bottom"/>
            <w:gridSpan w:val="2"/>
            <w:shd w:val="clear" w:color="auto" w:fill="CCEEFF"/>
          </w:tcPr>
          <w:p>
            <w:pPr>
              <w:jc w:val="right"/>
              <w:ind w:right="400"/>
              <w:spacing w:after="0" w:line="182" w:lineRule="exact"/>
              <w:rPr>
                <w:sz w:val="20"/>
                <w:szCs w:val="20"/>
                <w:color w:val="auto"/>
              </w:rPr>
            </w:pPr>
            <w:r>
              <w:rPr>
                <w:rFonts w:ascii="Arial" w:cs="Arial" w:eastAsia="Arial" w:hAnsi="Arial"/>
                <w:sz w:val="16"/>
                <w:szCs w:val="16"/>
                <w:color w:val="auto"/>
              </w:rPr>
              <w:t>(13.0)</w:t>
            </w:r>
          </w:p>
        </w:tc>
        <w:tc>
          <w:tcPr>
            <w:tcW w:w="10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187"/>
        </w:trPr>
        <w:tc>
          <w:tcPr>
            <w:tcW w:w="2600" w:type="dxa"/>
            <w:vAlign w:val="bottom"/>
          </w:tcPr>
          <w:p>
            <w:pPr>
              <w:ind w:left="20"/>
              <w:spacing w:after="0" w:line="182" w:lineRule="exact"/>
              <w:rPr>
                <w:sz w:val="20"/>
                <w:szCs w:val="20"/>
                <w:color w:val="auto"/>
              </w:rPr>
            </w:pPr>
            <w:r>
              <w:rPr>
                <w:rFonts w:ascii="Arial" w:cs="Arial" w:eastAsia="Arial" w:hAnsi="Arial"/>
                <w:sz w:val="16"/>
                <w:szCs w:val="16"/>
                <w:color w:val="auto"/>
              </w:rPr>
              <w:t>Other Income/(Expense)</w:t>
            </w:r>
          </w:p>
        </w:tc>
        <w:tc>
          <w:tcPr>
            <w:tcW w:w="1160" w:type="dxa"/>
            <w:vAlign w:val="bottom"/>
            <w:gridSpan w:val="2"/>
          </w:tcPr>
          <w:p>
            <w:pPr>
              <w:jc w:val="right"/>
              <w:ind w:right="380"/>
              <w:spacing w:after="0" w:line="182" w:lineRule="exact"/>
              <w:rPr>
                <w:sz w:val="20"/>
                <w:szCs w:val="20"/>
                <w:color w:val="auto"/>
              </w:rPr>
            </w:pPr>
            <w:r>
              <w:rPr>
                <w:rFonts w:ascii="Arial" w:cs="Arial" w:eastAsia="Arial" w:hAnsi="Arial"/>
                <w:sz w:val="16"/>
                <w:szCs w:val="16"/>
                <w:color w:val="auto"/>
              </w:rPr>
              <w:t>.3</w:t>
            </w:r>
          </w:p>
        </w:tc>
        <w:tc>
          <w:tcPr>
            <w:tcW w:w="1180" w:type="dxa"/>
            <w:vAlign w:val="bottom"/>
            <w:gridSpan w:val="2"/>
          </w:tcPr>
          <w:p>
            <w:pPr>
              <w:jc w:val="right"/>
              <w:ind w:right="340"/>
              <w:spacing w:after="0" w:line="182" w:lineRule="exact"/>
              <w:rPr>
                <w:sz w:val="20"/>
                <w:szCs w:val="20"/>
                <w:color w:val="auto"/>
              </w:rPr>
            </w:pPr>
            <w:r>
              <w:rPr>
                <w:rFonts w:ascii="Arial" w:cs="Arial" w:eastAsia="Arial" w:hAnsi="Arial"/>
                <w:sz w:val="16"/>
                <w:szCs w:val="16"/>
                <w:color w:val="auto"/>
              </w:rPr>
              <w:t>(2.7)</w:t>
            </w:r>
          </w:p>
        </w:tc>
        <w:tc>
          <w:tcPr>
            <w:tcW w:w="200" w:type="dxa"/>
            <w:vAlign w:val="bottom"/>
          </w:tcPr>
          <w:p>
            <w:pPr>
              <w:spacing w:after="0"/>
              <w:rPr>
                <w:sz w:val="16"/>
                <w:szCs w:val="16"/>
                <w:color w:val="auto"/>
              </w:rPr>
            </w:pPr>
          </w:p>
        </w:tc>
        <w:tc>
          <w:tcPr>
            <w:tcW w:w="980" w:type="dxa"/>
            <w:vAlign w:val="bottom"/>
            <w:gridSpan w:val="2"/>
          </w:tcPr>
          <w:p>
            <w:pPr>
              <w:jc w:val="right"/>
              <w:ind w:right="380"/>
              <w:spacing w:after="0" w:line="182" w:lineRule="exact"/>
              <w:rPr>
                <w:sz w:val="20"/>
                <w:szCs w:val="20"/>
                <w:color w:val="auto"/>
              </w:rPr>
            </w:pPr>
            <w:r>
              <w:rPr>
                <w:rFonts w:ascii="Arial" w:cs="Arial" w:eastAsia="Arial" w:hAnsi="Arial"/>
                <w:sz w:val="16"/>
                <w:szCs w:val="16"/>
                <w:color w:val="auto"/>
              </w:rPr>
              <w:t>6.3</w:t>
            </w:r>
          </w:p>
        </w:tc>
        <w:tc>
          <w:tcPr>
            <w:tcW w:w="1260" w:type="dxa"/>
            <w:vAlign w:val="bottom"/>
            <w:gridSpan w:val="2"/>
          </w:tcPr>
          <w:p>
            <w:pPr>
              <w:jc w:val="right"/>
              <w:ind w:right="440"/>
              <w:spacing w:after="0" w:line="182" w:lineRule="exact"/>
              <w:rPr>
                <w:sz w:val="20"/>
                <w:szCs w:val="20"/>
                <w:color w:val="auto"/>
              </w:rPr>
            </w:pPr>
            <w:r>
              <w:rPr>
                <w:rFonts w:ascii="Arial" w:cs="Arial" w:eastAsia="Arial" w:hAnsi="Arial"/>
                <w:sz w:val="16"/>
                <w:szCs w:val="16"/>
                <w:color w:val="auto"/>
              </w:rPr>
              <w:t>110.4</w:t>
            </w:r>
          </w:p>
        </w:tc>
        <w:tc>
          <w:tcPr>
            <w:tcW w:w="102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(140.6)</w:t>
            </w:r>
          </w:p>
        </w:tc>
        <w:tc>
          <w:tcPr>
            <w:tcW w:w="0" w:type="dxa"/>
            <w:vAlign w:val="bottom"/>
          </w:tcPr>
          <w:p>
            <w:pPr>
              <w:spacing w:after="0"/>
              <w:rPr>
                <w:sz w:val="1"/>
                <w:szCs w:val="1"/>
                <w:color w:val="auto"/>
              </w:rPr>
            </w:pPr>
          </w:p>
        </w:tc>
      </w:tr>
      <w:tr>
        <w:trPr>
          <w:trHeight w:val="181"/>
        </w:trPr>
        <w:tc>
          <w:tcPr>
            <w:tcW w:w="2600" w:type="dxa"/>
            <w:vAlign w:val="bottom"/>
            <w:shd w:val="clear" w:color="auto" w:fill="CCEEFF"/>
          </w:tcPr>
          <w:p>
            <w:pPr>
              <w:ind w:left="200"/>
              <w:spacing w:after="0" w:line="181" w:lineRule="exact"/>
              <w:rPr>
                <w:sz w:val="20"/>
                <w:szCs w:val="20"/>
                <w:color w:val="auto"/>
              </w:rPr>
            </w:pPr>
            <w:r>
              <w:rPr>
                <w:rFonts w:ascii="Arial" w:cs="Arial" w:eastAsia="Arial" w:hAnsi="Arial"/>
                <w:sz w:val="16"/>
                <w:szCs w:val="16"/>
                <w:color w:val="auto"/>
              </w:rPr>
              <w:t>Income Before Provision for</w:t>
            </w:r>
          </w:p>
        </w:tc>
        <w:tc>
          <w:tcPr>
            <w:tcW w:w="78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0" w:type="dxa"/>
            <w:vAlign w:val="bottom"/>
            <w:shd w:val="clear" w:color="auto" w:fill="CCEEFF"/>
          </w:tcPr>
          <w:p>
            <w:pPr>
              <w:ind w:left="380"/>
              <w:spacing w:after="0"/>
              <w:rPr>
                <w:sz w:val="20"/>
                <w:szCs w:val="20"/>
                <w:color w:val="auto"/>
              </w:rPr>
            </w:pPr>
            <w:r>
              <w:rPr>
                <w:rFonts w:ascii="Arial" w:cs="Arial" w:eastAsia="Arial" w:hAnsi="Arial"/>
                <w:sz w:val="16"/>
                <w:szCs w:val="16"/>
                <w:color w:val="auto"/>
              </w:rPr>
              <w:t>Income Taxes</w:t>
            </w:r>
          </w:p>
        </w:tc>
        <w:tc>
          <w:tcPr>
            <w:tcW w:w="116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17.7</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14.8</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27.5</w:t>
            </w:r>
          </w:p>
        </w:tc>
        <w:tc>
          <w:tcPr>
            <w:tcW w:w="126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4.5</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(48.7)</w:t>
            </w:r>
          </w:p>
        </w:tc>
        <w:tc>
          <w:tcPr>
            <w:tcW w:w="0" w:type="dxa"/>
            <w:vAlign w:val="bottom"/>
          </w:tcPr>
          <w:p>
            <w:pPr>
              <w:spacing w:after="0"/>
              <w:rPr>
                <w:sz w:val="1"/>
                <w:szCs w:val="1"/>
                <w:color w:val="auto"/>
              </w:rPr>
            </w:pPr>
          </w:p>
        </w:tc>
      </w:tr>
      <w:tr>
        <w:trPr>
          <w:trHeight w:val="182"/>
        </w:trPr>
        <w:tc>
          <w:tcPr>
            <w:tcW w:w="2600" w:type="dxa"/>
            <w:vAlign w:val="bottom"/>
          </w:tcPr>
          <w:p>
            <w:pPr>
              <w:ind w:left="20"/>
              <w:spacing w:after="0" w:line="182" w:lineRule="exact"/>
              <w:rPr>
                <w:sz w:val="20"/>
                <w:szCs w:val="20"/>
                <w:color w:val="auto"/>
              </w:rPr>
            </w:pPr>
            <w:r>
              <w:rPr>
                <w:rFonts w:ascii="Arial" w:cs="Arial" w:eastAsia="Arial" w:hAnsi="Arial"/>
                <w:sz w:val="16"/>
                <w:szCs w:val="16"/>
                <w:color w:val="auto"/>
              </w:rPr>
              <w:t>Provision for Income Taxes</w:t>
            </w:r>
          </w:p>
        </w:tc>
        <w:tc>
          <w:tcPr>
            <w:tcW w:w="1160" w:type="dxa"/>
            <w:vAlign w:val="bottom"/>
            <w:gridSpan w:val="2"/>
          </w:tcPr>
          <w:p>
            <w:pPr>
              <w:jc w:val="right"/>
              <w:ind w:right="380"/>
              <w:spacing w:after="0" w:line="182" w:lineRule="exact"/>
              <w:rPr>
                <w:sz w:val="20"/>
                <w:szCs w:val="20"/>
                <w:color w:val="auto"/>
              </w:rPr>
            </w:pPr>
            <w:r>
              <w:rPr>
                <w:rFonts w:ascii="Arial" w:cs="Arial" w:eastAsia="Arial" w:hAnsi="Arial"/>
                <w:sz w:val="16"/>
                <w:szCs w:val="16"/>
                <w:color w:val="auto"/>
              </w:rPr>
              <w:t>5.8</w:t>
            </w:r>
          </w:p>
        </w:tc>
        <w:tc>
          <w:tcPr>
            <w:tcW w:w="1180" w:type="dxa"/>
            <w:vAlign w:val="bottom"/>
            <w:gridSpan w:val="2"/>
          </w:tcPr>
          <w:p>
            <w:pPr>
              <w:jc w:val="right"/>
              <w:ind w:right="380"/>
              <w:spacing w:after="0" w:line="182" w:lineRule="exact"/>
              <w:rPr>
                <w:sz w:val="20"/>
                <w:szCs w:val="20"/>
                <w:color w:val="auto"/>
              </w:rPr>
            </w:pPr>
            <w:r>
              <w:rPr>
                <w:rFonts w:ascii="Arial" w:cs="Arial" w:eastAsia="Arial" w:hAnsi="Arial"/>
                <w:sz w:val="16"/>
                <w:szCs w:val="16"/>
                <w:color w:val="auto"/>
              </w:rPr>
              <w:t>4.8</w:t>
            </w:r>
          </w:p>
        </w:tc>
        <w:tc>
          <w:tcPr>
            <w:tcW w:w="200" w:type="dxa"/>
            <w:vAlign w:val="bottom"/>
          </w:tcPr>
          <w:p>
            <w:pPr>
              <w:spacing w:after="0"/>
              <w:rPr>
                <w:sz w:val="15"/>
                <w:szCs w:val="15"/>
                <w:color w:val="auto"/>
              </w:rPr>
            </w:pPr>
          </w:p>
        </w:tc>
        <w:tc>
          <w:tcPr>
            <w:tcW w:w="980" w:type="dxa"/>
            <w:vAlign w:val="bottom"/>
            <w:gridSpan w:val="2"/>
          </w:tcPr>
          <w:p>
            <w:pPr>
              <w:jc w:val="right"/>
              <w:ind w:right="380"/>
              <w:spacing w:after="0" w:line="182" w:lineRule="exact"/>
              <w:rPr>
                <w:sz w:val="20"/>
                <w:szCs w:val="20"/>
                <w:color w:val="auto"/>
              </w:rPr>
            </w:pPr>
            <w:r>
              <w:rPr>
                <w:rFonts w:ascii="Arial" w:cs="Arial" w:eastAsia="Arial" w:hAnsi="Arial"/>
                <w:sz w:val="16"/>
                <w:szCs w:val="16"/>
                <w:color w:val="auto"/>
              </w:rPr>
              <w:t>8.8</w:t>
            </w:r>
          </w:p>
        </w:tc>
        <w:tc>
          <w:tcPr>
            <w:tcW w:w="1260" w:type="dxa"/>
            <w:vAlign w:val="bottom"/>
            <w:gridSpan w:val="2"/>
          </w:tcPr>
          <w:p>
            <w:pPr>
              <w:jc w:val="right"/>
              <w:ind w:right="440"/>
              <w:spacing w:after="0" w:line="182" w:lineRule="exact"/>
              <w:rPr>
                <w:sz w:val="20"/>
                <w:szCs w:val="20"/>
                <w:color w:val="auto"/>
              </w:rPr>
            </w:pPr>
            <w:r>
              <w:rPr>
                <w:rFonts w:ascii="Arial" w:cs="Arial" w:eastAsia="Arial" w:hAnsi="Arial"/>
                <w:sz w:val="16"/>
                <w:szCs w:val="16"/>
                <w:color w:val="auto"/>
              </w:rPr>
              <w:t>5.3</w:t>
            </w:r>
          </w:p>
        </w:tc>
        <w:tc>
          <w:tcPr>
            <w:tcW w:w="102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(47.7)</w:t>
            </w:r>
          </w:p>
        </w:tc>
        <w:tc>
          <w:tcPr>
            <w:tcW w:w="0" w:type="dxa"/>
            <w:vAlign w:val="bottom"/>
          </w:tcPr>
          <w:p>
            <w:pPr>
              <w:spacing w:after="0"/>
              <w:rPr>
                <w:sz w:val="1"/>
                <w:szCs w:val="1"/>
                <w:color w:val="auto"/>
              </w:rPr>
            </w:pPr>
          </w:p>
        </w:tc>
      </w:tr>
      <w:tr>
        <w:trPr>
          <w:trHeight w:val="24"/>
        </w:trPr>
        <w:tc>
          <w:tcPr>
            <w:tcW w:w="26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60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Net Income</w:t>
            </w:r>
          </w:p>
        </w:tc>
        <w:tc>
          <w:tcPr>
            <w:tcW w:w="116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6"/>
                <w:szCs w:val="16"/>
                <w:color w:val="auto"/>
              </w:rPr>
              <w:t>11.9%</w:t>
            </w:r>
          </w:p>
        </w:tc>
        <w:tc>
          <w:tcPr>
            <w:tcW w:w="118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10.0%</w:t>
            </w: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18.7%</w:t>
            </w:r>
          </w:p>
        </w:tc>
        <w:tc>
          <w:tcPr>
            <w:tcW w:w="126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4.1%</w:t>
            </w:r>
          </w:p>
        </w:tc>
        <w:tc>
          <w:tcPr>
            <w:tcW w:w="10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(49.2%)</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Results of Operations: 2009 to 2008</w:t>
      </w:r>
    </w:p>
    <w:p>
      <w:pPr>
        <w:spacing w:after="0" w:line="172" w:lineRule="exact"/>
        <w:rPr>
          <w:sz w:val="20"/>
          <w:szCs w:val="20"/>
          <w:color w:val="auto"/>
        </w:rPr>
      </w:pPr>
    </w:p>
    <w:p>
      <w:pPr>
        <w:ind w:left="280" w:right="1559"/>
        <w:spacing w:after="0" w:line="243"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net sales decreased by $79,277,000, or 13% compared to the prior year. Automotive 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by 13% on a 19% decrease in auto-dimming mirror shipments, from 14,389,000 (in 2008) to 11,678,000 (in 2009) units, primarily reflecting lower light vehicle production globally. North American auto-dimming unit shipments decreased by 27%, primarily as a result of significantly lower light vehicle production. Overseas mirror unit shipments decreased by 14% during 2009, primarily due to lower light vehicle production levels in Europe and Asia. Net sales of the Company’s fire protection products decreased 18%, primarily due to the weak commercial construction market.</w:t>
      </w:r>
    </w:p>
    <w:p>
      <w:pPr>
        <w:spacing w:after="0" w:line="316" w:lineRule="exact"/>
        <w:rPr>
          <w:sz w:val="20"/>
          <w:szCs w:val="20"/>
          <w:color w:val="auto"/>
        </w:rPr>
      </w:pPr>
    </w:p>
    <w:p>
      <w:pPr>
        <w:ind w:left="280" w:right="2039"/>
        <w:spacing w:after="0" w:line="272" w:lineRule="auto"/>
        <w:rPr>
          <w:sz w:val="20"/>
          <w:szCs w:val="20"/>
          <w:color w:val="auto"/>
        </w:rPr>
      </w:pPr>
      <w:r>
        <w:rPr>
          <w:rFonts w:ascii="Arial" w:cs="Arial" w:eastAsia="Arial" w:hAnsi="Arial"/>
          <w:sz w:val="16"/>
          <w:szCs w:val="16"/>
          <w:i w:val="1"/>
          <w:iCs w:val="1"/>
          <w:u w:val="single" w:color="auto"/>
          <w:color w:val="auto"/>
        </w:rPr>
        <w:t>Cost of Goods Sold.</w:t>
      </w:r>
      <w:r>
        <w:rPr>
          <w:rFonts w:ascii="Arial" w:cs="Arial" w:eastAsia="Arial" w:hAnsi="Arial"/>
          <w:sz w:val="16"/>
          <w:szCs w:val="16"/>
          <w:i w:val="1"/>
          <w:iCs w:val="1"/>
          <w:color w:val="auto"/>
        </w:rPr>
        <w:t xml:space="preserve"> </w:t>
      </w:r>
      <w:r>
        <w:rPr>
          <w:rFonts w:ascii="Arial" w:cs="Arial" w:eastAsia="Arial" w:hAnsi="Arial"/>
          <w:sz w:val="16"/>
          <w:szCs w:val="16"/>
          <w:color w:val="auto"/>
        </w:rPr>
        <w:t>As a percentage of net sales, cost of goods sold remained at 67%, primarily reflecting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impact of annual automotive customer price reductions, offset by purchasing cost reductions.</w:t>
      </w:r>
    </w:p>
    <w:p>
      <w:pPr>
        <w:spacing w:after="0" w:line="105" w:lineRule="exact"/>
        <w:rPr>
          <w:sz w:val="20"/>
          <w:szCs w:val="20"/>
          <w:color w:val="auto"/>
        </w:rPr>
      </w:pPr>
    </w:p>
    <w:p>
      <w:pPr>
        <w:ind w:left="280" w:right="1739"/>
        <w:spacing w:after="0" w:line="249" w:lineRule="auto"/>
        <w:rPr>
          <w:sz w:val="20"/>
          <w:szCs w:val="20"/>
          <w:color w:val="auto"/>
        </w:rPr>
      </w:pPr>
      <w:r>
        <w:rPr>
          <w:rFonts w:ascii="Arial" w:cs="Arial" w:eastAsia="Arial" w:hAnsi="Arial"/>
          <w:sz w:val="16"/>
          <w:szCs w:val="16"/>
          <w:i w:val="1"/>
          <w:iCs w:val="1"/>
          <w:u w:val="single" w:color="auto"/>
          <w:color w:val="auto"/>
        </w:rPr>
        <w:t>Operating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Engineering, research and development expenses decreased approximately $4,761,000, but</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from 8% to 9% of net sales. E, R &amp; D expenses decreased 9% year over year, primarily due to reduced employee headcount and reduced variable employee compensation expense. Reduced employee headcount accounted for approximately two thirds of the decrease in E, R &amp; D expenses.</w:t>
      </w:r>
    </w:p>
    <w:p>
      <w:pPr>
        <w:spacing w:after="0" w:line="152" w:lineRule="exact"/>
        <w:rPr>
          <w:sz w:val="20"/>
          <w:szCs w:val="20"/>
          <w:color w:val="auto"/>
        </w:rPr>
      </w:pPr>
    </w:p>
    <w:p>
      <w:pPr>
        <w:ind w:left="280" w:right="1639"/>
        <w:spacing w:after="0" w:line="241" w:lineRule="auto"/>
        <w:rPr>
          <w:sz w:val="20"/>
          <w:szCs w:val="20"/>
          <w:color w:val="auto"/>
        </w:rPr>
      </w:pPr>
      <w:r>
        <w:rPr>
          <w:rFonts w:ascii="Arial" w:cs="Arial" w:eastAsia="Arial" w:hAnsi="Arial"/>
          <w:sz w:val="16"/>
          <w:szCs w:val="16"/>
          <w:color w:val="auto"/>
        </w:rPr>
        <w:t>Selling, general and administrative expenses decreased 16% and approximately $6,617,000, but remained at 7% of net sales, primarily due to the increase in the allowance for doubtful accounts in 2008. Excluding the increase in the allowance for doubtful accounts of $3,800,000 in 2008, S, G &amp; A expenses decreased by 7% year over year, primarily due to reduced variable employee compensation expense and foreign exchange rates. Foreign exchange rates accounted for approximately one third of the decrease in selling, general and administrative expenses.</w:t>
      </w:r>
    </w:p>
    <w:p>
      <w:pPr>
        <w:spacing w:after="0" w:line="200" w:lineRule="exact"/>
        <w:rPr>
          <w:sz w:val="20"/>
          <w:szCs w:val="20"/>
          <w:color w:val="auto"/>
        </w:rPr>
      </w:pPr>
    </w:p>
    <w:p>
      <w:pPr>
        <w:spacing w:after="0" w:line="286"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7" w:lineRule="exact"/>
        <w:rPr>
          <w:sz w:val="20"/>
          <w:szCs w:val="20"/>
          <w:color w:val="auto"/>
        </w:rPr>
      </w:pPr>
    </w:p>
    <w:p>
      <w:pPr>
        <w:ind w:left="280" w:right="1799"/>
        <w:spacing w:after="0" w:line="272" w:lineRule="auto"/>
        <w:rPr>
          <w:sz w:val="20"/>
          <w:szCs w:val="20"/>
          <w:color w:val="auto"/>
        </w:rPr>
      </w:pPr>
      <w:r>
        <w:rPr>
          <w:rFonts w:ascii="Arial" w:cs="Arial" w:eastAsia="Arial" w:hAnsi="Arial"/>
          <w:sz w:val="16"/>
          <w:szCs w:val="16"/>
          <w:i w:val="1"/>
          <w:iCs w:val="1"/>
          <w:u w:val="single" w:color="auto"/>
          <w:color w:val="auto"/>
        </w:rPr>
        <w:t>Total Other Income/(Expense).</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income decreased $10,278,000 in 2009, primarily due to lower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rates.</w:t>
      </w:r>
    </w:p>
    <w:p>
      <w:pPr>
        <w:spacing w:after="0" w:line="134" w:lineRule="exact"/>
        <w:rPr>
          <w:sz w:val="20"/>
          <w:szCs w:val="20"/>
          <w:color w:val="auto"/>
        </w:rPr>
      </w:pPr>
    </w:p>
    <w:p>
      <w:pPr>
        <w:ind w:left="280" w:right="1819"/>
        <w:spacing w:after="0" w:line="244" w:lineRule="auto"/>
        <w:rPr>
          <w:sz w:val="20"/>
          <w:szCs w:val="20"/>
          <w:color w:val="auto"/>
        </w:rPr>
      </w:pPr>
      <w:r>
        <w:rPr>
          <w:rFonts w:ascii="Arial" w:cs="Arial" w:eastAsia="Arial" w:hAnsi="Arial"/>
          <w:sz w:val="16"/>
          <w:szCs w:val="16"/>
          <w:color w:val="auto"/>
        </w:rPr>
        <w:t>A non-cash charge for other-than-temporary impairment losses on available-for-sale securities of $1,291,000 was recognized in 2009 due to unrealized losses on equity investments, compared with an impairment loss of $17,910,000 in 2008. Refer to Footnote 1 to the Consolidated Financial Statements for additional details.</w:t>
      </w:r>
    </w:p>
    <w:p>
      <w:pPr>
        <w:spacing w:after="0" w:line="144" w:lineRule="exact"/>
        <w:rPr>
          <w:sz w:val="20"/>
          <w:szCs w:val="20"/>
          <w:color w:val="auto"/>
        </w:rPr>
      </w:pPr>
    </w:p>
    <w:p>
      <w:pPr>
        <w:ind w:left="280" w:right="1819"/>
        <w:spacing w:after="0" w:line="251" w:lineRule="auto"/>
        <w:rPr>
          <w:sz w:val="20"/>
          <w:szCs w:val="20"/>
          <w:color w:val="auto"/>
        </w:rPr>
      </w:pPr>
      <w:r>
        <w:rPr>
          <w:rFonts w:ascii="Arial" w:cs="Arial" w:eastAsia="Arial" w:hAnsi="Arial"/>
          <w:sz w:val="16"/>
          <w:szCs w:val="16"/>
          <w:color w:val="auto"/>
        </w:rPr>
        <w:t>Other expense-net decreased $12,010,000 in 2009, primarily due to reduced realized losses on the sale of equity investments in 2009.</w:t>
      </w:r>
    </w:p>
    <w:p>
      <w:pPr>
        <w:spacing w:after="0" w:line="122" w:lineRule="exact"/>
        <w:rPr>
          <w:sz w:val="20"/>
          <w:szCs w:val="20"/>
          <w:color w:val="auto"/>
        </w:rPr>
      </w:pPr>
    </w:p>
    <w:p>
      <w:pPr>
        <w:ind w:left="280" w:right="1859"/>
        <w:spacing w:after="0" w:line="272" w:lineRule="auto"/>
        <w:rPr>
          <w:sz w:val="20"/>
          <w:szCs w:val="20"/>
          <w:color w:val="auto"/>
        </w:rPr>
      </w:pPr>
      <w:r>
        <w:rPr>
          <w:rFonts w:ascii="Arial" w:cs="Arial" w:eastAsia="Arial" w:hAnsi="Arial"/>
          <w:sz w:val="16"/>
          <w:szCs w:val="16"/>
          <w:i w:val="1"/>
          <w:iCs w:val="1"/>
          <w:u w:val="single" w:color="auto"/>
          <w:color w:val="auto"/>
        </w:rPr>
        <w:t>Taxes.</w:t>
      </w:r>
      <w:r>
        <w:rPr>
          <w:rFonts w:ascii="Arial" w:cs="Arial" w:eastAsia="Arial" w:hAnsi="Arial"/>
          <w:sz w:val="16"/>
          <w:szCs w:val="16"/>
          <w:i w:val="1"/>
          <w:iCs w:val="1"/>
          <w:color w:val="auto"/>
        </w:rPr>
        <w:t xml:space="preserve"> </w:t>
      </w:r>
      <w:r>
        <w:rPr>
          <w:rFonts w:ascii="Arial" w:cs="Arial" w:eastAsia="Arial" w:hAnsi="Arial"/>
          <w:sz w:val="16"/>
          <w:szCs w:val="16"/>
          <w:color w:val="auto"/>
        </w:rPr>
        <w:t>The provision for federal income taxes varied from the statutory rate in 2008 primarily due to the domestic</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deduction.</w:t>
      </w:r>
    </w:p>
    <w:p>
      <w:pPr>
        <w:spacing w:after="0" w:line="118" w:lineRule="exact"/>
        <w:rPr>
          <w:sz w:val="20"/>
          <w:szCs w:val="20"/>
          <w:color w:val="auto"/>
        </w:rPr>
      </w:pPr>
    </w:p>
    <w:p>
      <w:pPr>
        <w:ind w:left="280" w:right="1819"/>
        <w:spacing w:after="0" w:line="272" w:lineRule="auto"/>
        <w:rPr>
          <w:sz w:val="20"/>
          <w:szCs w:val="20"/>
          <w:color w:val="auto"/>
        </w:rPr>
      </w:pPr>
      <w:r>
        <w:rPr>
          <w:rFonts w:ascii="Arial" w:cs="Arial" w:eastAsia="Arial" w:hAnsi="Arial"/>
          <w:sz w:val="16"/>
          <w:szCs w:val="16"/>
          <w:i w:val="1"/>
          <w:iCs w:val="1"/>
          <w:u w:val="single" w:color="auto"/>
          <w:color w:val="auto"/>
        </w:rPr>
        <w:t>Net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Net income increased by $2,549,000, or 4% year over year, primarily due to the improvement in total</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income.</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Results of Operations: 2008 to 2007</w:t>
      </w:r>
    </w:p>
    <w:p>
      <w:pPr>
        <w:spacing w:after="0" w:line="160" w:lineRule="exact"/>
        <w:rPr>
          <w:sz w:val="20"/>
          <w:szCs w:val="20"/>
          <w:color w:val="auto"/>
        </w:rPr>
      </w:pPr>
    </w:p>
    <w:p>
      <w:pPr>
        <w:ind w:left="280" w:right="1539"/>
        <w:spacing w:after="0" w:line="242" w:lineRule="auto"/>
        <w:rPr>
          <w:sz w:val="20"/>
          <w:szCs w:val="20"/>
          <w:color w:val="auto"/>
        </w:rPr>
      </w:pPr>
      <w:r>
        <w:rPr>
          <w:rFonts w:ascii="Arial" w:cs="Arial" w:eastAsia="Arial" w:hAnsi="Arial"/>
          <w:sz w:val="16"/>
          <w:szCs w:val="16"/>
          <w:i w:val="1"/>
          <w:iCs w:val="1"/>
          <w:u w:val="single" w:color="auto"/>
          <w:color w:val="auto"/>
        </w:rPr>
        <w:t>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net sales decreased by $30,133,000, or 5% compared to the prior year. Automotive net sales</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decreased by 5% on a 5% decrease in auto-dimming mirror shipments, from 15,221,000 to 14,389,000 units, primarily reflecting decreased unit shipments of auto-dimming mirrors to the traditional Big three automakers, partially offset by increased unit shipments to European and Asian automakers. North American auto-dimming unit shipments decreased by 19%, primarily as a result of significantly lower light vehicle production at the traditional Big Three automakers. Overseas mirror unit shipments increased by 5% during 2008 due to increased penetration of interior and exterior auto-dimming mirrors at certain European and Asian automakers. Net sales of the Company’s fire protection products decreased 7%, primarily due to a weak commercial construction market.</w:t>
      </w:r>
    </w:p>
    <w:p>
      <w:pPr>
        <w:spacing w:after="0" w:line="144" w:lineRule="exact"/>
        <w:rPr>
          <w:sz w:val="20"/>
          <w:szCs w:val="20"/>
          <w:color w:val="auto"/>
        </w:rPr>
      </w:pPr>
    </w:p>
    <w:p>
      <w:pPr>
        <w:ind w:left="280" w:right="1559"/>
        <w:spacing w:after="0" w:line="249" w:lineRule="auto"/>
        <w:rPr>
          <w:sz w:val="20"/>
          <w:szCs w:val="20"/>
          <w:color w:val="auto"/>
        </w:rPr>
      </w:pPr>
      <w:r>
        <w:rPr>
          <w:rFonts w:ascii="Arial" w:cs="Arial" w:eastAsia="Arial" w:hAnsi="Arial"/>
          <w:sz w:val="16"/>
          <w:szCs w:val="16"/>
          <w:i w:val="1"/>
          <w:iCs w:val="1"/>
          <w:u w:val="single" w:color="auto"/>
          <w:color w:val="auto"/>
        </w:rPr>
        <w:t>Cost of Goods Sold.</w:t>
      </w:r>
      <w:r>
        <w:rPr>
          <w:rFonts w:ascii="Arial" w:cs="Arial" w:eastAsia="Arial" w:hAnsi="Arial"/>
          <w:sz w:val="16"/>
          <w:szCs w:val="16"/>
          <w:i w:val="1"/>
          <w:iCs w:val="1"/>
          <w:color w:val="auto"/>
        </w:rPr>
        <w:t xml:space="preserve"> </w:t>
      </w:r>
      <w:r>
        <w:rPr>
          <w:rFonts w:ascii="Arial" w:cs="Arial" w:eastAsia="Arial" w:hAnsi="Arial"/>
          <w:sz w:val="16"/>
          <w:szCs w:val="16"/>
          <w:color w:val="auto"/>
        </w:rPr>
        <w:t>As a percentage of net sales, cost of goods sold increased from 65% to 67%, primarily reflecting</w:t>
      </w:r>
      <w:r>
        <w:rPr>
          <w:rFonts w:ascii="Arial" w:cs="Arial" w:eastAsia="Arial" w:hAnsi="Arial"/>
          <w:sz w:val="16"/>
          <w:szCs w:val="16"/>
          <w:i w:val="1"/>
          <w:iCs w:val="1"/>
          <w:color w:val="auto"/>
        </w:rPr>
        <w:t xml:space="preserve"> </w:t>
      </w:r>
      <w:r>
        <w:rPr>
          <w:rFonts w:ascii="Arial" w:cs="Arial" w:eastAsia="Arial" w:hAnsi="Arial"/>
          <w:sz w:val="16"/>
          <w:szCs w:val="16"/>
          <w:color w:val="auto"/>
        </w:rPr>
        <w:t>the impact of annual automotive customer price reductions and the inability to leverage the Company’s fixed overhead costs, partially offset by purchasing cost reductions and foreign exchange rates. Each factor is estimated to have impacted cost of goods sold by approximately 1-2%.</w:t>
      </w:r>
    </w:p>
    <w:p>
      <w:pPr>
        <w:spacing w:after="0" w:line="123" w:lineRule="exact"/>
        <w:rPr>
          <w:sz w:val="20"/>
          <w:szCs w:val="20"/>
          <w:color w:val="auto"/>
        </w:rPr>
      </w:pPr>
    </w:p>
    <w:p>
      <w:pPr>
        <w:ind w:left="280" w:right="1539"/>
        <w:spacing w:after="0" w:line="246" w:lineRule="auto"/>
        <w:rPr>
          <w:sz w:val="20"/>
          <w:szCs w:val="20"/>
          <w:color w:val="auto"/>
        </w:rPr>
      </w:pPr>
      <w:r>
        <w:rPr>
          <w:rFonts w:ascii="Arial" w:cs="Arial" w:eastAsia="Arial" w:hAnsi="Arial"/>
          <w:sz w:val="16"/>
          <w:szCs w:val="16"/>
          <w:i w:val="1"/>
          <w:iCs w:val="1"/>
          <w:u w:val="single" w:color="auto"/>
          <w:color w:val="auto"/>
        </w:rPr>
        <w:t>Operating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Engineering, research and development expenses increased approximately $1,174,000, but</w:t>
      </w:r>
      <w:r>
        <w:rPr>
          <w:rFonts w:ascii="Arial" w:cs="Arial" w:eastAsia="Arial" w:hAnsi="Arial"/>
          <w:sz w:val="16"/>
          <w:szCs w:val="16"/>
          <w:i w:val="1"/>
          <w:iCs w:val="1"/>
          <w:color w:val="auto"/>
        </w:rPr>
        <w:t xml:space="preserve"> </w:t>
      </w:r>
      <w:r>
        <w:rPr>
          <w:rFonts w:ascii="Arial" w:cs="Arial" w:eastAsia="Arial" w:hAnsi="Arial"/>
          <w:sz w:val="16"/>
          <w:szCs w:val="16"/>
          <w:color w:val="auto"/>
        </w:rPr>
        <w:t>remained at 8% of net sales. Excluding litigation expenses of $104,000 and the litigation judgment accrual reversal of approximately $335,000 in 2008, and excluding litigation expenses of approximately $4,788,000 in 2007, E, R &amp; D expenses increased 13% year over year, primarily due to additional staffing for new electronic product development, including SmartBeam</w:t>
      </w:r>
      <w:r>
        <w:rPr>
          <w:rFonts w:ascii="Arial" w:cs="Arial" w:eastAsia="Arial" w:hAnsi="Arial"/>
          <w:sz w:val="13"/>
          <w:szCs w:val="13"/>
          <w:color w:val="auto"/>
        </w:rPr>
        <w:t>®</w:t>
      </w:r>
      <w:r>
        <w:rPr>
          <w:rFonts w:ascii="Arial" w:cs="Arial" w:eastAsia="Arial" w:hAnsi="Arial"/>
          <w:sz w:val="16"/>
          <w:szCs w:val="16"/>
          <w:color w:val="auto"/>
        </w:rPr>
        <w:t>, Rear Camera Display and telematics, and new vehicle programs.</w:t>
      </w:r>
    </w:p>
    <w:p>
      <w:pPr>
        <w:spacing w:after="0" w:line="142" w:lineRule="exact"/>
        <w:rPr>
          <w:sz w:val="20"/>
          <w:szCs w:val="20"/>
          <w:color w:val="auto"/>
        </w:rPr>
      </w:pPr>
    </w:p>
    <w:p>
      <w:pPr>
        <w:ind w:left="280" w:right="1539"/>
        <w:spacing w:after="0"/>
        <w:rPr>
          <w:sz w:val="20"/>
          <w:szCs w:val="20"/>
          <w:color w:val="auto"/>
        </w:rPr>
      </w:pPr>
      <w:r>
        <w:rPr>
          <w:rFonts w:ascii="Arial" w:cs="Arial" w:eastAsia="Arial" w:hAnsi="Arial"/>
          <w:sz w:val="16"/>
          <w:szCs w:val="16"/>
          <w:color w:val="auto"/>
        </w:rPr>
        <w:t>Selling, general and administrative expenses increased 20% and approximately $7,144,000, and increased from 5% to 7% of net sales. Excluding an increase in the allowance for doubtful accounts of $3,800,000 in the fourth quarter of 2008, S, G &amp; A expenses increased by 10% year over year, primarily reflecting the continued expansion of the Company’s overseas sales offices to support the Company’s current and future overseas sales growth. The increase in the allowance for doubtful accounts related to certain financially distressed Tier 1 automotive customers with balances considered uncollectible as of December 31, 2008.</w:t>
      </w:r>
    </w:p>
    <w:p>
      <w:pPr>
        <w:spacing w:after="0" w:line="160" w:lineRule="exact"/>
        <w:rPr>
          <w:sz w:val="20"/>
          <w:szCs w:val="20"/>
          <w:color w:val="auto"/>
        </w:rPr>
      </w:pPr>
    </w:p>
    <w:p>
      <w:pPr>
        <w:ind w:left="280" w:right="1599"/>
        <w:spacing w:after="0"/>
        <w:rPr>
          <w:sz w:val="20"/>
          <w:szCs w:val="20"/>
          <w:color w:val="auto"/>
        </w:rPr>
      </w:pPr>
      <w:r>
        <w:rPr>
          <w:rFonts w:ascii="Arial" w:cs="Arial" w:eastAsia="Arial" w:hAnsi="Arial"/>
          <w:sz w:val="16"/>
          <w:szCs w:val="16"/>
          <w:color w:val="auto"/>
        </w:rPr>
        <w:t>Litigation judgment expense of $2,885,000 during 2007 related to the Company’s litigation with K. W. Muth and Muth Mirror Systems LLC (“Muth”) relating to exterior mirrors with turn signal indicators. On February 15, 2008, the Company entered into a Settlement And Release And Covenants Not To Sue (“Agreement”) with Muth whereby the parties agreed to settle the Court’s judgment against Gentex for damages at a reduced amount of $2,550,000. The adjustment to the original judgment for damages was reflected in our financial results as an adjustment to E, R &amp; D expense in 2008 (see above for more details).</w:t>
      </w:r>
    </w:p>
    <w:p>
      <w:pPr>
        <w:spacing w:after="0" w:line="132" w:lineRule="exact"/>
        <w:rPr>
          <w:sz w:val="20"/>
          <w:szCs w:val="20"/>
          <w:color w:val="auto"/>
        </w:rPr>
      </w:pPr>
    </w:p>
    <w:p>
      <w:pPr>
        <w:ind w:left="280" w:right="1799"/>
        <w:spacing w:after="0" w:line="255" w:lineRule="auto"/>
        <w:rPr>
          <w:sz w:val="20"/>
          <w:szCs w:val="20"/>
          <w:color w:val="auto"/>
        </w:rPr>
      </w:pPr>
      <w:r>
        <w:rPr>
          <w:rFonts w:ascii="Arial" w:cs="Arial" w:eastAsia="Arial" w:hAnsi="Arial"/>
          <w:sz w:val="16"/>
          <w:szCs w:val="16"/>
          <w:i w:val="1"/>
          <w:iCs w:val="1"/>
          <w:u w:val="single" w:color="auto"/>
          <w:color w:val="auto"/>
        </w:rPr>
        <w:t>Total Other Income/(Expense).</w:t>
      </w:r>
      <w:r>
        <w:rPr>
          <w:rFonts w:ascii="Arial" w:cs="Arial" w:eastAsia="Arial" w:hAnsi="Arial"/>
          <w:sz w:val="16"/>
          <w:szCs w:val="16"/>
          <w:i w:val="1"/>
          <w:iCs w:val="1"/>
          <w:color w:val="auto"/>
        </w:rPr>
        <w:t xml:space="preserve"> </w:t>
      </w:r>
      <w:r>
        <w:rPr>
          <w:rFonts w:ascii="Arial" w:cs="Arial" w:eastAsia="Arial" w:hAnsi="Arial"/>
          <w:sz w:val="16"/>
          <w:szCs w:val="16"/>
          <w:color w:val="auto"/>
        </w:rPr>
        <w:t>Investment income decreased $12,177,000 in 2008, primarily due to lower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rates and decreased year-end mutual fund distribution income. Lower year-end mutual fund distribution income accounted for approximately $5.4 million of the year-over-year decrease.</w:t>
      </w:r>
    </w:p>
    <w:p>
      <w:pPr>
        <w:spacing w:after="0" w:line="134" w:lineRule="exact"/>
        <w:rPr>
          <w:sz w:val="20"/>
          <w:szCs w:val="20"/>
          <w:color w:val="auto"/>
        </w:rPr>
      </w:pPr>
    </w:p>
    <w:p>
      <w:pPr>
        <w:ind w:left="280" w:right="1739"/>
        <w:spacing w:after="0" w:line="244" w:lineRule="auto"/>
        <w:rPr>
          <w:sz w:val="20"/>
          <w:szCs w:val="20"/>
          <w:color w:val="auto"/>
        </w:rPr>
      </w:pPr>
      <w:r>
        <w:rPr>
          <w:rFonts w:ascii="Arial" w:cs="Arial" w:eastAsia="Arial" w:hAnsi="Arial"/>
          <w:sz w:val="16"/>
          <w:szCs w:val="16"/>
          <w:color w:val="auto"/>
        </w:rPr>
        <w:t>A non-cash charge for other-than-temporary impairment losses on available-for-sale securities of $17,910,000 was recognized in 2008 due to unrealized losses on equity investments (refer to investment footnote for additional details).</w:t>
      </w:r>
    </w:p>
    <w:p>
      <w:pPr>
        <w:spacing w:after="0" w:line="200" w:lineRule="exact"/>
        <w:rPr>
          <w:sz w:val="20"/>
          <w:szCs w:val="20"/>
          <w:color w:val="auto"/>
        </w:rPr>
      </w:pPr>
    </w:p>
    <w:p>
      <w:pPr>
        <w:spacing w:after="0" w:line="296"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280" w:right="1639"/>
        <w:spacing w:after="0" w:line="251" w:lineRule="auto"/>
        <w:rPr>
          <w:sz w:val="20"/>
          <w:szCs w:val="20"/>
          <w:color w:val="auto"/>
        </w:rPr>
      </w:pPr>
      <w:r>
        <w:rPr>
          <w:rFonts w:ascii="Arial" w:cs="Arial" w:eastAsia="Arial" w:hAnsi="Arial"/>
          <w:sz w:val="16"/>
          <w:szCs w:val="16"/>
          <w:color w:val="auto"/>
        </w:rPr>
        <w:t>Other-net decreased $27,454,000 in 2008, primarily due to realized losses on the sale of equity investments in 2008 compared to realized gains on the sale of equity investments in 2007.</w:t>
      </w:r>
    </w:p>
    <w:p>
      <w:pPr>
        <w:spacing w:after="0" w:line="134" w:lineRule="exact"/>
        <w:rPr>
          <w:sz w:val="20"/>
          <w:szCs w:val="20"/>
          <w:color w:val="auto"/>
        </w:rPr>
      </w:pPr>
    </w:p>
    <w:p>
      <w:pPr>
        <w:ind w:left="280" w:right="1859"/>
        <w:spacing w:after="0" w:line="272" w:lineRule="auto"/>
        <w:rPr>
          <w:sz w:val="20"/>
          <w:szCs w:val="20"/>
          <w:color w:val="auto"/>
        </w:rPr>
      </w:pPr>
      <w:r>
        <w:rPr>
          <w:rFonts w:ascii="Arial" w:cs="Arial" w:eastAsia="Arial" w:hAnsi="Arial"/>
          <w:sz w:val="16"/>
          <w:szCs w:val="16"/>
          <w:i w:val="1"/>
          <w:iCs w:val="1"/>
          <w:u w:val="single" w:color="auto"/>
          <w:color w:val="auto"/>
        </w:rPr>
        <w:t>Taxes.</w:t>
      </w:r>
      <w:r>
        <w:rPr>
          <w:rFonts w:ascii="Arial" w:cs="Arial" w:eastAsia="Arial" w:hAnsi="Arial"/>
          <w:sz w:val="16"/>
          <w:szCs w:val="16"/>
          <w:i w:val="1"/>
          <w:iCs w:val="1"/>
          <w:color w:val="auto"/>
        </w:rPr>
        <w:t xml:space="preserve"> </w:t>
      </w:r>
      <w:r>
        <w:rPr>
          <w:rFonts w:ascii="Arial" w:cs="Arial" w:eastAsia="Arial" w:hAnsi="Arial"/>
          <w:sz w:val="16"/>
          <w:szCs w:val="16"/>
          <w:color w:val="auto"/>
        </w:rPr>
        <w:t>The provision for federal income taxes varied from the statutory rate in 2008 primarily due to the domestic</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manufacturing deduction and tax exempt interest income.</w:t>
      </w:r>
    </w:p>
    <w:p>
      <w:pPr>
        <w:spacing w:after="0" w:line="105" w:lineRule="exact"/>
        <w:rPr>
          <w:sz w:val="20"/>
          <w:szCs w:val="20"/>
          <w:color w:val="auto"/>
        </w:rPr>
      </w:pPr>
    </w:p>
    <w:p>
      <w:pPr>
        <w:ind w:left="280" w:right="1859"/>
        <w:spacing w:after="0" w:line="272" w:lineRule="auto"/>
        <w:rPr>
          <w:sz w:val="20"/>
          <w:szCs w:val="20"/>
          <w:color w:val="auto"/>
        </w:rPr>
      </w:pPr>
      <w:r>
        <w:rPr>
          <w:rFonts w:ascii="Arial" w:cs="Arial" w:eastAsia="Arial" w:hAnsi="Arial"/>
          <w:sz w:val="16"/>
          <w:szCs w:val="16"/>
          <w:i w:val="1"/>
          <w:iCs w:val="1"/>
          <w:u w:val="single" w:color="auto"/>
          <w:color w:val="auto"/>
        </w:rPr>
        <w:t>Net Income.</w:t>
      </w:r>
      <w:r>
        <w:rPr>
          <w:rFonts w:ascii="Arial" w:cs="Arial" w:eastAsia="Arial" w:hAnsi="Arial"/>
          <w:sz w:val="16"/>
          <w:szCs w:val="16"/>
          <w:i w:val="1"/>
          <w:iCs w:val="1"/>
          <w:color w:val="auto"/>
        </w:rPr>
        <w:t xml:space="preserve"> </w:t>
      </w:r>
      <w:r>
        <w:rPr>
          <w:rFonts w:ascii="Arial" w:cs="Arial" w:eastAsia="Arial" w:hAnsi="Arial"/>
          <w:sz w:val="16"/>
          <w:szCs w:val="16"/>
          <w:color w:val="auto"/>
        </w:rPr>
        <w:t>Net income decreased by $60,042,000, or 49% year over year, primarily due to the decrease in total</w:t>
      </w:r>
      <w:r>
        <w:rPr>
          <w:rFonts w:ascii="Arial" w:cs="Arial" w:eastAsia="Arial" w:hAnsi="Arial"/>
          <w:sz w:val="16"/>
          <w:szCs w:val="16"/>
          <w:i w:val="1"/>
          <w:iCs w:val="1"/>
          <w:color w:val="auto"/>
        </w:rPr>
        <w:t xml:space="preserve"> </w:t>
      </w:r>
      <w:r>
        <w:rPr>
          <w:rFonts w:ascii="Arial" w:cs="Arial" w:eastAsia="Arial" w:hAnsi="Arial"/>
          <w:sz w:val="16"/>
          <w:szCs w:val="16"/>
          <w:color w:val="auto"/>
        </w:rPr>
        <w:t>other income (expense) and the reduced operating margin.</w:t>
      </w:r>
    </w:p>
    <w:p>
      <w:pPr>
        <w:spacing w:after="0" w:line="101"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Liquidity and Capital Resources</w:t>
      </w:r>
    </w:p>
    <w:p>
      <w:pPr>
        <w:spacing w:after="0" w:line="188" w:lineRule="exact"/>
        <w:rPr>
          <w:sz w:val="20"/>
          <w:szCs w:val="20"/>
          <w:color w:val="auto"/>
        </w:rPr>
      </w:pPr>
    </w:p>
    <w:p>
      <w:pPr>
        <w:ind w:left="280" w:right="1799"/>
        <w:spacing w:after="0" w:line="251" w:lineRule="auto"/>
        <w:rPr>
          <w:sz w:val="20"/>
          <w:szCs w:val="20"/>
          <w:color w:val="auto"/>
        </w:rPr>
      </w:pPr>
      <w:r>
        <w:rPr>
          <w:rFonts w:ascii="Arial" w:cs="Arial" w:eastAsia="Arial" w:hAnsi="Arial"/>
          <w:sz w:val="16"/>
          <w:szCs w:val="16"/>
          <w:color w:val="auto"/>
        </w:rPr>
        <w:t>The Company’s financial condition throughout the periods presented has remained very strong, in spite of general economic conditions and conditions in our primary industry which remain difficult.</w:t>
      </w:r>
    </w:p>
    <w:p>
      <w:pPr>
        <w:spacing w:after="0" w:line="138" w:lineRule="exact"/>
        <w:rPr>
          <w:sz w:val="20"/>
          <w:szCs w:val="20"/>
          <w:color w:val="auto"/>
        </w:rPr>
      </w:pPr>
    </w:p>
    <w:p>
      <w:pPr>
        <w:ind w:left="280" w:right="1579"/>
        <w:spacing w:after="0" w:line="251" w:lineRule="auto"/>
        <w:rPr>
          <w:sz w:val="20"/>
          <w:szCs w:val="20"/>
          <w:color w:val="auto"/>
        </w:rPr>
      </w:pPr>
      <w:r>
        <w:rPr>
          <w:rFonts w:ascii="Arial" w:cs="Arial" w:eastAsia="Arial" w:hAnsi="Arial"/>
          <w:sz w:val="16"/>
          <w:szCs w:val="16"/>
          <w:color w:val="auto"/>
        </w:rPr>
        <w:t>The Company’s current ratio decreased from 9.2 as of December 31, 2008, to 8.6 as of December 31, 2009, primarily as a result of the increase in accounts payable, partially offset by an increase in cash and cash equivalents.</w:t>
      </w:r>
    </w:p>
    <w:p>
      <w:pPr>
        <w:spacing w:after="0" w:line="138" w:lineRule="exact"/>
        <w:rPr>
          <w:sz w:val="20"/>
          <w:szCs w:val="20"/>
          <w:color w:val="auto"/>
        </w:rPr>
      </w:pPr>
    </w:p>
    <w:p>
      <w:pPr>
        <w:ind w:left="280" w:right="1619"/>
        <w:spacing w:after="0"/>
        <w:rPr>
          <w:sz w:val="20"/>
          <w:szCs w:val="20"/>
          <w:color w:val="auto"/>
        </w:rPr>
      </w:pPr>
      <w:r>
        <w:rPr>
          <w:rFonts w:ascii="Arial" w:cs="Arial" w:eastAsia="Arial" w:hAnsi="Arial"/>
          <w:sz w:val="16"/>
          <w:szCs w:val="16"/>
          <w:color w:val="auto"/>
        </w:rPr>
        <w:t>Cash flow from operating activities for the year ended December 31, 2009, decreased $9,978,000 to $110,654,000, compared to $ 120,632,000 for the same period last year, primarily due to an increase in accounts receivable, partially offset by an increase in accounts payable and changes in accrued liabilities. Capital expenditures for the year ended December 31, 2009, decreased to $21,131,000, compared to $45,524,000 for the same period last year, primarily due to reduced production equipment purchases given current market conditions. The Company currently anticipates capital expenditures of approximately $40-45 million for equipment during 2010, to be financed from existing cash and/or cash equivalents on hand.</w:t>
      </w:r>
    </w:p>
    <w:p>
      <w:pPr>
        <w:spacing w:after="0" w:line="158" w:lineRule="exact"/>
        <w:rPr>
          <w:sz w:val="20"/>
          <w:szCs w:val="20"/>
          <w:color w:val="auto"/>
        </w:rPr>
      </w:pPr>
    </w:p>
    <w:p>
      <w:pPr>
        <w:ind w:left="280" w:right="2439"/>
        <w:spacing w:after="0" w:line="251" w:lineRule="auto"/>
        <w:rPr>
          <w:sz w:val="20"/>
          <w:szCs w:val="20"/>
          <w:color w:val="auto"/>
        </w:rPr>
      </w:pPr>
      <w:r>
        <w:rPr>
          <w:rFonts w:ascii="Arial" w:cs="Arial" w:eastAsia="Arial" w:hAnsi="Arial"/>
          <w:sz w:val="16"/>
          <w:szCs w:val="16"/>
          <w:color w:val="auto"/>
        </w:rPr>
        <w:t>Cash and cash equivalents as of December 31, 2009 increased approximately $41,802,000 compared to December 31, 2008, primarily due to cash flow from operations, partially offset by dividends paid.</w:t>
      </w:r>
    </w:p>
    <w:p>
      <w:pPr>
        <w:spacing w:after="0" w:line="138" w:lineRule="exact"/>
        <w:rPr>
          <w:sz w:val="20"/>
          <w:szCs w:val="20"/>
          <w:color w:val="auto"/>
        </w:rPr>
      </w:pPr>
    </w:p>
    <w:p>
      <w:pPr>
        <w:ind w:left="280" w:right="1659"/>
        <w:spacing w:after="0" w:line="242" w:lineRule="auto"/>
        <w:rPr>
          <w:sz w:val="20"/>
          <w:szCs w:val="20"/>
          <w:color w:val="auto"/>
        </w:rPr>
      </w:pPr>
      <w:r>
        <w:rPr>
          <w:rFonts w:ascii="Arial" w:cs="Arial" w:eastAsia="Arial" w:hAnsi="Arial"/>
          <w:sz w:val="16"/>
          <w:szCs w:val="16"/>
          <w:color w:val="auto"/>
        </w:rPr>
        <w:t>Accounts receivable as of December 31, 2009, increased approximately $26,631,000 compared to December 31, 2008, primarily due the higher sales level as well as monthly sales within each quarter. The current uncertain economic environment continues to cause increased financial pressures and production stresses on our customers, which could impact timely customer payments and ultimately the collectability of receivables.</w:t>
      </w:r>
    </w:p>
    <w:p>
      <w:pPr>
        <w:spacing w:after="0" w:line="145" w:lineRule="exact"/>
        <w:rPr>
          <w:sz w:val="20"/>
          <w:szCs w:val="20"/>
          <w:color w:val="auto"/>
        </w:rPr>
      </w:pPr>
    </w:p>
    <w:p>
      <w:pPr>
        <w:ind w:left="280" w:right="2219"/>
        <w:spacing w:after="0" w:line="251" w:lineRule="auto"/>
        <w:rPr>
          <w:sz w:val="20"/>
          <w:szCs w:val="20"/>
          <w:color w:val="auto"/>
        </w:rPr>
      </w:pPr>
      <w:r>
        <w:rPr>
          <w:rFonts w:ascii="Arial" w:cs="Arial" w:eastAsia="Arial" w:hAnsi="Arial"/>
          <w:sz w:val="16"/>
          <w:szCs w:val="16"/>
          <w:color w:val="auto"/>
        </w:rPr>
        <w:t>Prepaid expenses and other current assets as of December 31, 2009, decreased approximately $6,733,000 compared to December 31, 2008, primarily due to a reduction in the Company’s refundable income taxes.</w:t>
      </w:r>
    </w:p>
    <w:p>
      <w:pPr>
        <w:spacing w:after="0" w:line="150" w:lineRule="exact"/>
        <w:rPr>
          <w:sz w:val="20"/>
          <w:szCs w:val="20"/>
          <w:color w:val="auto"/>
        </w:rPr>
      </w:pPr>
    </w:p>
    <w:p>
      <w:pPr>
        <w:ind w:left="280" w:right="1619"/>
        <w:spacing w:after="0" w:line="251" w:lineRule="auto"/>
        <w:rPr>
          <w:sz w:val="20"/>
          <w:szCs w:val="20"/>
          <w:color w:val="auto"/>
        </w:rPr>
      </w:pPr>
      <w:r>
        <w:rPr>
          <w:rFonts w:ascii="Arial" w:cs="Arial" w:eastAsia="Arial" w:hAnsi="Arial"/>
          <w:sz w:val="16"/>
          <w:szCs w:val="16"/>
          <w:color w:val="auto"/>
        </w:rPr>
        <w:t>Long-term investments as of December 31, 2009, increased approximately $27,806,000 compared to December 31, 2008, primarily due to an increase in unrealized gains in equity investments.</w:t>
      </w:r>
    </w:p>
    <w:p>
      <w:pPr>
        <w:spacing w:after="0" w:line="138" w:lineRule="exact"/>
        <w:rPr>
          <w:sz w:val="20"/>
          <w:szCs w:val="20"/>
          <w:color w:val="auto"/>
        </w:rPr>
      </w:pPr>
    </w:p>
    <w:p>
      <w:pPr>
        <w:ind w:left="280" w:right="1639"/>
        <w:spacing w:after="0" w:line="251" w:lineRule="auto"/>
        <w:rPr>
          <w:sz w:val="20"/>
          <w:szCs w:val="20"/>
          <w:color w:val="auto"/>
        </w:rPr>
      </w:pPr>
      <w:r>
        <w:rPr>
          <w:rFonts w:ascii="Arial" w:cs="Arial" w:eastAsia="Arial" w:hAnsi="Arial"/>
          <w:sz w:val="16"/>
          <w:szCs w:val="16"/>
          <w:color w:val="auto"/>
        </w:rPr>
        <w:t>Accounts payable as of December 31, 2009, increased approximately $7,751,000 compared to December 31, 2008, primarily due to increased production levels.</w:t>
      </w:r>
    </w:p>
    <w:p>
      <w:pPr>
        <w:spacing w:after="0" w:line="138" w:lineRule="exact"/>
        <w:rPr>
          <w:sz w:val="20"/>
          <w:szCs w:val="20"/>
          <w:color w:val="auto"/>
        </w:rPr>
      </w:pPr>
    </w:p>
    <w:p>
      <w:pPr>
        <w:ind w:left="280" w:right="1599"/>
        <w:spacing w:after="0" w:line="242" w:lineRule="auto"/>
        <w:rPr>
          <w:sz w:val="20"/>
          <w:szCs w:val="20"/>
          <w:color w:val="auto"/>
        </w:rPr>
      </w:pPr>
      <w:r>
        <w:rPr>
          <w:rFonts w:ascii="Arial" w:cs="Arial" w:eastAsia="Arial" w:hAnsi="Arial"/>
          <w:sz w:val="16"/>
          <w:szCs w:val="16"/>
          <w:color w:val="auto"/>
        </w:rPr>
        <w:t>Management considers the Company’s working capital of approximately $446,776,000 and long-term investments of approximately $ 109,155,000 at December 31, 2009, together with internally generated cash flow and an unsecured $5,000,000 line of credit from a bank, to be sufficient to cover anticipated cash needs for the next year and for the foreseeable future.</w:t>
      </w:r>
    </w:p>
    <w:p>
      <w:pPr>
        <w:spacing w:after="0" w:line="157" w:lineRule="exact"/>
        <w:rPr>
          <w:sz w:val="20"/>
          <w:szCs w:val="20"/>
          <w:color w:val="auto"/>
        </w:rPr>
      </w:pPr>
    </w:p>
    <w:p>
      <w:pPr>
        <w:ind w:left="280" w:right="1619"/>
        <w:spacing w:after="0" w:line="239" w:lineRule="auto"/>
        <w:rPr>
          <w:sz w:val="20"/>
          <w:szCs w:val="20"/>
          <w:color w:val="auto"/>
        </w:rPr>
      </w:pPr>
      <w:r>
        <w:rPr>
          <w:rFonts w:ascii="Arial" w:cs="Arial" w:eastAsia="Arial" w:hAnsi="Arial"/>
          <w:sz w:val="16"/>
          <w:szCs w:val="16"/>
          <w:color w:val="auto"/>
        </w:rPr>
        <w:t>On October 8, 2002, the Company announced a share repurchase plan, under which it may purchase up to 8,000,000 shares (post-split) based on a number of factors, including market and business conditions, the market price of the Company’s common stock, anti-dilutive effect on earnings, available cash and other factors that the Company deems appropriate. On July 20, 2005, the Company announced that it had raised the price at which the Company may repurchase shares under the existing plan. On May 16, 2006, the Company announced that the Company’s Board of Directors had authorized the repurchase of an additional 8,000,000 shares under the plan. On August 14, 2006, the Company announced that the Company’s Board of Directors had authorized the repurchase of an additional 8,000,000 shares under the plan. On February 26, 2008, the Company announced that the Company’s Board of Directors had authorized the repurchase of an additional 4,000,000 shares under the plan.</w:t>
      </w:r>
    </w:p>
    <w:p>
      <w:pPr>
        <w:spacing w:after="0" w:line="200" w:lineRule="exact"/>
        <w:rPr>
          <w:sz w:val="20"/>
          <w:szCs w:val="20"/>
          <w:color w:val="auto"/>
        </w:rPr>
      </w:pPr>
    </w:p>
    <w:p>
      <w:pPr>
        <w:spacing w:after="0" w:line="290"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4"/>
        </w:trPr>
        <w:tc>
          <w:tcPr>
            <w:tcW w:w="5700" w:type="dxa"/>
            <w:vAlign w:val="bottom"/>
            <w:gridSpan w:val="3"/>
          </w:tcPr>
          <w:p>
            <w:pPr>
              <w:spacing w:after="0"/>
              <w:rPr>
                <w:rFonts w:ascii="Arial" w:cs="Arial" w:eastAsia="Arial" w:hAnsi="Arial"/>
                <w:sz w:val="16"/>
                <w:szCs w:val="16"/>
                <w:b w:val="1"/>
                <w:bCs w:val="1"/>
                <w:color w:val="0000EE"/>
              </w:rPr>
            </w:pPr>
            <w:hyperlink w:anchor="page4">
              <w:r>
                <w:rPr>
                  <w:rFonts w:ascii="Arial" w:cs="Arial" w:eastAsia="Arial" w:hAnsi="Arial"/>
                  <w:sz w:val="16"/>
                  <w:szCs w:val="16"/>
                  <w:b w:val="1"/>
                  <w:bCs w:val="1"/>
                  <w:color w:val="0000EE"/>
                </w:rPr>
                <w:t>Table of Contents</w:t>
              </w:r>
            </w:hyperlink>
          </w:p>
        </w:tc>
        <w:tc>
          <w:tcPr>
            <w:tcW w:w="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200" w:type="dxa"/>
            <w:vAlign w:val="bottom"/>
            <w:gridSpan w:val="2"/>
            <w:shd w:val="clear" w:color="auto" w:fill="0000EE"/>
          </w:tcPr>
          <w:p>
            <w:pPr>
              <w:spacing w:after="0" w:line="20" w:lineRule="exact"/>
              <w:rPr>
                <w:sz w:val="1"/>
                <w:szCs w:val="1"/>
                <w:color w:val="auto"/>
              </w:rPr>
            </w:pPr>
          </w:p>
        </w:tc>
        <w:tc>
          <w:tcPr>
            <w:tcW w:w="63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8"/>
        </w:trPr>
        <w:tc>
          <w:tcPr>
            <w:tcW w:w="7540" w:type="dxa"/>
            <w:vAlign w:val="bottom"/>
            <w:gridSpan w:val="6"/>
          </w:tcPr>
          <w:p>
            <w:pPr>
              <w:ind w:left="280"/>
              <w:spacing w:after="0"/>
              <w:rPr>
                <w:sz w:val="20"/>
                <w:szCs w:val="20"/>
                <w:color w:val="auto"/>
              </w:rPr>
            </w:pPr>
            <w:r>
              <w:rPr>
                <w:rFonts w:ascii="Arial" w:cs="Arial" w:eastAsia="Arial" w:hAnsi="Arial"/>
                <w:sz w:val="16"/>
                <w:szCs w:val="16"/>
                <w:color w:val="auto"/>
              </w:rPr>
              <w:t>The following is a summary of quarterly share repurchase activity under the plan to date:</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2"/>
        </w:trPr>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6"/>
                <w:szCs w:val="16"/>
                <w:color w:val="auto"/>
                <w:w w:val="99"/>
              </w:rPr>
              <w:t>Total Number of</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2"/>
        </w:trPr>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gridSpan w:val="2"/>
          </w:tcPr>
          <w:p>
            <w:pPr>
              <w:jc w:val="center"/>
              <w:ind w:right="280"/>
              <w:spacing w:after="0" w:line="182" w:lineRule="exact"/>
              <w:rPr>
                <w:sz w:val="20"/>
                <w:szCs w:val="20"/>
                <w:color w:val="auto"/>
              </w:rPr>
            </w:pPr>
            <w:r>
              <w:rPr>
                <w:rFonts w:ascii="Arial" w:cs="Arial" w:eastAsia="Arial" w:hAnsi="Arial"/>
                <w:sz w:val="16"/>
                <w:szCs w:val="16"/>
                <w:color w:val="auto"/>
              </w:rPr>
              <w:t>Shares Purchased</w:t>
            </w:r>
          </w:p>
        </w:tc>
        <w:tc>
          <w:tcPr>
            <w:tcW w:w="1140" w:type="dxa"/>
            <w:vAlign w:val="bottom"/>
            <w:gridSpan w:val="3"/>
          </w:tcPr>
          <w:p>
            <w:pPr>
              <w:spacing w:after="0" w:line="182" w:lineRule="exact"/>
              <w:rPr>
                <w:sz w:val="20"/>
                <w:szCs w:val="20"/>
                <w:color w:val="auto"/>
              </w:rPr>
            </w:pPr>
            <w:r>
              <w:rPr>
                <w:rFonts w:ascii="Arial" w:cs="Arial" w:eastAsia="Arial" w:hAnsi="Arial"/>
                <w:sz w:val="16"/>
                <w:szCs w:val="16"/>
                <w:color w:val="auto"/>
              </w:rPr>
              <w:t>Cost of Shares</w:t>
            </w:r>
          </w:p>
        </w:tc>
      </w:tr>
      <w:tr>
        <w:trPr>
          <w:trHeight w:val="183"/>
        </w:trPr>
        <w:tc>
          <w:tcPr>
            <w:tcW w:w="280" w:type="dxa"/>
            <w:vAlign w:val="bottom"/>
          </w:tcPr>
          <w:p>
            <w:pPr>
              <w:spacing w:after="0"/>
              <w:rPr>
                <w:sz w:val="15"/>
                <w:szCs w:val="15"/>
                <w:color w:val="auto"/>
              </w:rPr>
            </w:pPr>
          </w:p>
        </w:tc>
        <w:tc>
          <w:tcPr>
            <w:tcW w:w="542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color w:val="auto"/>
              </w:rPr>
              <w:t>Quarter Ended</w:t>
            </w:r>
          </w:p>
        </w:tc>
        <w:tc>
          <w:tcPr>
            <w:tcW w:w="220" w:type="dxa"/>
            <w:vAlign w:val="bottom"/>
          </w:tcPr>
          <w:p>
            <w:pPr>
              <w:spacing w:after="0"/>
              <w:rPr>
                <w:sz w:val="15"/>
                <w:szCs w:val="15"/>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(Post-Split)</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Purchased</w:t>
            </w:r>
          </w:p>
        </w:tc>
        <w:tc>
          <w:tcPr>
            <w:tcW w:w="60" w:type="dxa"/>
            <w:vAlign w:val="bottom"/>
          </w:tcPr>
          <w:p>
            <w:pPr>
              <w:spacing w:after="0"/>
              <w:rPr>
                <w:sz w:val="15"/>
                <w:szCs w:val="15"/>
                <w:color w:val="auto"/>
              </w:rPr>
            </w:pPr>
          </w:p>
        </w:tc>
      </w:tr>
      <w:tr>
        <w:trPr>
          <w:trHeight w:val="174"/>
        </w:trPr>
        <w:tc>
          <w:tcPr>
            <w:tcW w:w="280" w:type="dxa"/>
            <w:vAlign w:val="bottom"/>
          </w:tcPr>
          <w:p>
            <w:pPr>
              <w:spacing w:after="0"/>
              <w:rPr>
                <w:sz w:val="15"/>
                <w:szCs w:val="15"/>
                <w:color w:val="auto"/>
              </w:rPr>
            </w:pPr>
          </w:p>
        </w:tc>
        <w:tc>
          <w:tcPr>
            <w:tcW w:w="542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March 31, 2003</w:t>
            </w:r>
          </w:p>
        </w:tc>
        <w:tc>
          <w:tcPr>
            <w:tcW w:w="156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830,000</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10,246,810</w:t>
            </w:r>
          </w:p>
        </w:tc>
      </w:tr>
      <w:tr>
        <w:trPr>
          <w:trHeight w:val="182"/>
        </w:trPr>
        <w:tc>
          <w:tcPr>
            <w:tcW w:w="280" w:type="dxa"/>
            <w:vAlign w:val="bottom"/>
          </w:tcPr>
          <w:p>
            <w:pPr>
              <w:spacing w:after="0"/>
              <w:rPr>
                <w:sz w:val="15"/>
                <w:szCs w:val="15"/>
                <w:color w:val="auto"/>
              </w:rPr>
            </w:pPr>
          </w:p>
        </w:tc>
        <w:tc>
          <w:tcPr>
            <w:tcW w:w="5420" w:type="dxa"/>
            <w:vAlign w:val="bottom"/>
            <w:gridSpan w:val="2"/>
          </w:tcPr>
          <w:p>
            <w:pPr>
              <w:ind w:left="20"/>
              <w:spacing w:after="0" w:line="182" w:lineRule="exact"/>
              <w:rPr>
                <w:sz w:val="20"/>
                <w:szCs w:val="20"/>
                <w:color w:val="auto"/>
              </w:rPr>
            </w:pPr>
            <w:r>
              <w:rPr>
                <w:rFonts w:ascii="Arial" w:cs="Arial" w:eastAsia="Arial" w:hAnsi="Arial"/>
                <w:sz w:val="16"/>
                <w:szCs w:val="16"/>
                <w:color w:val="auto"/>
              </w:rPr>
              <w:t>September 30, 2005</w:t>
            </w:r>
          </w:p>
        </w:tc>
        <w:tc>
          <w:tcPr>
            <w:tcW w:w="1840" w:type="dxa"/>
            <w:vAlign w:val="bottom"/>
            <w:gridSpan w:val="3"/>
          </w:tcPr>
          <w:p>
            <w:pPr>
              <w:jc w:val="right"/>
              <w:ind w:right="280"/>
              <w:spacing w:after="0" w:line="182" w:lineRule="exact"/>
              <w:rPr>
                <w:sz w:val="20"/>
                <w:szCs w:val="20"/>
                <w:color w:val="auto"/>
              </w:rPr>
            </w:pPr>
            <w:r>
              <w:rPr>
                <w:rFonts w:ascii="Arial" w:cs="Arial" w:eastAsia="Arial" w:hAnsi="Arial"/>
                <w:sz w:val="16"/>
                <w:szCs w:val="16"/>
                <w:color w:val="auto"/>
              </w:rPr>
              <w:t>1,496,059</w:t>
            </w:r>
          </w:p>
        </w:tc>
        <w:tc>
          <w:tcPr>
            <w:tcW w:w="120" w:type="dxa"/>
            <w:vAlign w:val="bottom"/>
          </w:tcPr>
          <w:p>
            <w:pPr>
              <w:spacing w:after="0"/>
              <w:rPr>
                <w:sz w:val="15"/>
                <w:szCs w:val="15"/>
                <w:color w:val="auto"/>
              </w:rPr>
            </w:pPr>
          </w:p>
        </w:tc>
        <w:tc>
          <w:tcPr>
            <w:tcW w:w="102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25,214,573</w:t>
            </w:r>
          </w:p>
        </w:tc>
      </w:tr>
      <w:tr>
        <w:trPr>
          <w:trHeight w:val="182"/>
        </w:trPr>
        <w:tc>
          <w:tcPr>
            <w:tcW w:w="280" w:type="dxa"/>
            <w:vAlign w:val="bottom"/>
          </w:tcPr>
          <w:p>
            <w:pPr>
              <w:spacing w:after="0"/>
              <w:rPr>
                <w:sz w:val="15"/>
                <w:szCs w:val="15"/>
                <w:color w:val="auto"/>
              </w:rPr>
            </w:pPr>
          </w:p>
        </w:tc>
        <w:tc>
          <w:tcPr>
            <w:tcW w:w="542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6"/>
                <w:szCs w:val="16"/>
                <w:color w:val="auto"/>
              </w:rPr>
              <w:t>March 31, 2006</w:t>
            </w:r>
          </w:p>
        </w:tc>
        <w:tc>
          <w:tcPr>
            <w:tcW w:w="1840" w:type="dxa"/>
            <w:vAlign w:val="bottom"/>
            <w:gridSpan w:val="3"/>
            <w:shd w:val="clear" w:color="auto" w:fill="CCEEFF"/>
          </w:tcPr>
          <w:p>
            <w:pPr>
              <w:jc w:val="right"/>
              <w:ind w:right="280"/>
              <w:spacing w:after="0" w:line="182" w:lineRule="exact"/>
              <w:rPr>
                <w:sz w:val="20"/>
                <w:szCs w:val="20"/>
                <w:color w:val="auto"/>
              </w:rPr>
            </w:pPr>
            <w:r>
              <w:rPr>
                <w:rFonts w:ascii="Arial" w:cs="Arial" w:eastAsia="Arial" w:hAnsi="Arial"/>
                <w:sz w:val="16"/>
                <w:szCs w:val="16"/>
                <w:color w:val="auto"/>
              </w:rPr>
              <w:t>2,803,548</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47,145,310</w:t>
            </w:r>
          </w:p>
        </w:tc>
      </w:tr>
      <w:tr>
        <w:trPr>
          <w:trHeight w:val="182"/>
        </w:trPr>
        <w:tc>
          <w:tcPr>
            <w:tcW w:w="280" w:type="dxa"/>
            <w:vAlign w:val="bottom"/>
          </w:tcPr>
          <w:p>
            <w:pPr>
              <w:spacing w:after="0"/>
              <w:rPr>
                <w:sz w:val="15"/>
                <w:szCs w:val="15"/>
                <w:color w:val="auto"/>
              </w:rPr>
            </w:pPr>
          </w:p>
        </w:tc>
        <w:tc>
          <w:tcPr>
            <w:tcW w:w="5420" w:type="dxa"/>
            <w:vAlign w:val="bottom"/>
            <w:gridSpan w:val="2"/>
          </w:tcPr>
          <w:p>
            <w:pPr>
              <w:ind w:left="20"/>
              <w:spacing w:after="0" w:line="182" w:lineRule="exact"/>
              <w:rPr>
                <w:sz w:val="20"/>
                <w:szCs w:val="20"/>
                <w:color w:val="auto"/>
              </w:rPr>
            </w:pPr>
            <w:r>
              <w:rPr>
                <w:rFonts w:ascii="Arial" w:cs="Arial" w:eastAsia="Arial" w:hAnsi="Arial"/>
                <w:sz w:val="16"/>
                <w:szCs w:val="16"/>
                <w:color w:val="auto"/>
              </w:rPr>
              <w:t>June 30, 2006</w:t>
            </w:r>
          </w:p>
        </w:tc>
        <w:tc>
          <w:tcPr>
            <w:tcW w:w="1840" w:type="dxa"/>
            <w:vAlign w:val="bottom"/>
            <w:gridSpan w:val="3"/>
          </w:tcPr>
          <w:p>
            <w:pPr>
              <w:jc w:val="right"/>
              <w:ind w:right="280"/>
              <w:spacing w:after="0" w:line="182" w:lineRule="exact"/>
              <w:rPr>
                <w:sz w:val="20"/>
                <w:szCs w:val="20"/>
                <w:color w:val="auto"/>
              </w:rPr>
            </w:pPr>
            <w:r>
              <w:rPr>
                <w:rFonts w:ascii="Arial" w:cs="Arial" w:eastAsia="Arial" w:hAnsi="Arial"/>
                <w:sz w:val="16"/>
                <w:szCs w:val="16"/>
                <w:color w:val="auto"/>
              </w:rPr>
              <w:t>7,201,081</w:t>
            </w:r>
          </w:p>
        </w:tc>
        <w:tc>
          <w:tcPr>
            <w:tcW w:w="120" w:type="dxa"/>
            <w:vAlign w:val="bottom"/>
          </w:tcPr>
          <w:p>
            <w:pPr>
              <w:spacing w:after="0"/>
              <w:rPr>
                <w:sz w:val="15"/>
                <w:szCs w:val="15"/>
                <w:color w:val="auto"/>
              </w:rPr>
            </w:pPr>
          </w:p>
        </w:tc>
        <w:tc>
          <w:tcPr>
            <w:tcW w:w="102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104,604,414</w:t>
            </w:r>
          </w:p>
        </w:tc>
      </w:tr>
      <w:tr>
        <w:trPr>
          <w:trHeight w:val="182"/>
        </w:trPr>
        <w:tc>
          <w:tcPr>
            <w:tcW w:w="280" w:type="dxa"/>
            <w:vAlign w:val="bottom"/>
          </w:tcPr>
          <w:p>
            <w:pPr>
              <w:spacing w:after="0"/>
              <w:rPr>
                <w:sz w:val="15"/>
                <w:szCs w:val="15"/>
                <w:color w:val="auto"/>
              </w:rPr>
            </w:pPr>
          </w:p>
        </w:tc>
        <w:tc>
          <w:tcPr>
            <w:tcW w:w="542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6"/>
                <w:szCs w:val="16"/>
                <w:color w:val="auto"/>
              </w:rPr>
              <w:t>September 30, 2006</w:t>
            </w:r>
          </w:p>
        </w:tc>
        <w:tc>
          <w:tcPr>
            <w:tcW w:w="1840" w:type="dxa"/>
            <w:vAlign w:val="bottom"/>
            <w:gridSpan w:val="3"/>
            <w:shd w:val="clear" w:color="auto" w:fill="CCEEFF"/>
          </w:tcPr>
          <w:p>
            <w:pPr>
              <w:jc w:val="right"/>
              <w:ind w:right="280"/>
              <w:spacing w:after="0" w:line="182" w:lineRule="exact"/>
              <w:rPr>
                <w:sz w:val="20"/>
                <w:szCs w:val="20"/>
                <w:color w:val="auto"/>
              </w:rPr>
            </w:pPr>
            <w:r>
              <w:rPr>
                <w:rFonts w:ascii="Arial" w:cs="Arial" w:eastAsia="Arial" w:hAnsi="Arial"/>
                <w:sz w:val="16"/>
                <w:szCs w:val="16"/>
                <w:color w:val="auto"/>
              </w:rPr>
              <w:t>3,968,171</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55,614,102</w:t>
            </w:r>
          </w:p>
        </w:tc>
      </w:tr>
      <w:tr>
        <w:trPr>
          <w:trHeight w:val="182"/>
        </w:trPr>
        <w:tc>
          <w:tcPr>
            <w:tcW w:w="280" w:type="dxa"/>
            <w:vAlign w:val="bottom"/>
          </w:tcPr>
          <w:p>
            <w:pPr>
              <w:spacing w:after="0"/>
              <w:rPr>
                <w:sz w:val="15"/>
                <w:szCs w:val="15"/>
                <w:color w:val="auto"/>
              </w:rPr>
            </w:pPr>
          </w:p>
        </w:tc>
        <w:tc>
          <w:tcPr>
            <w:tcW w:w="5420" w:type="dxa"/>
            <w:vAlign w:val="bottom"/>
            <w:gridSpan w:val="2"/>
          </w:tcPr>
          <w:p>
            <w:pPr>
              <w:ind w:left="20"/>
              <w:spacing w:after="0" w:line="182" w:lineRule="exact"/>
              <w:rPr>
                <w:sz w:val="20"/>
                <w:szCs w:val="20"/>
                <w:color w:val="auto"/>
              </w:rPr>
            </w:pPr>
            <w:r>
              <w:rPr>
                <w:rFonts w:ascii="Arial" w:cs="Arial" w:eastAsia="Arial" w:hAnsi="Arial"/>
                <w:sz w:val="16"/>
                <w:szCs w:val="16"/>
                <w:color w:val="auto"/>
              </w:rPr>
              <w:t>December 31, 2006</w:t>
            </w:r>
          </w:p>
        </w:tc>
        <w:tc>
          <w:tcPr>
            <w:tcW w:w="1840" w:type="dxa"/>
            <w:vAlign w:val="bottom"/>
            <w:gridSpan w:val="3"/>
          </w:tcPr>
          <w:p>
            <w:pPr>
              <w:jc w:val="right"/>
              <w:ind w:right="280"/>
              <w:spacing w:after="0" w:line="182" w:lineRule="exact"/>
              <w:rPr>
                <w:sz w:val="20"/>
                <w:szCs w:val="20"/>
                <w:color w:val="auto"/>
              </w:rPr>
            </w:pPr>
            <w:r>
              <w:rPr>
                <w:rFonts w:ascii="Arial" w:cs="Arial" w:eastAsia="Arial" w:hAnsi="Arial"/>
                <w:sz w:val="16"/>
                <w:szCs w:val="16"/>
                <w:color w:val="auto"/>
              </w:rPr>
              <w:t>1,232,884</w:t>
            </w:r>
          </w:p>
        </w:tc>
        <w:tc>
          <w:tcPr>
            <w:tcW w:w="120" w:type="dxa"/>
            <w:vAlign w:val="bottom"/>
          </w:tcPr>
          <w:p>
            <w:pPr>
              <w:spacing w:after="0"/>
              <w:rPr>
                <w:sz w:val="15"/>
                <w:szCs w:val="15"/>
                <w:color w:val="auto"/>
              </w:rPr>
            </w:pPr>
          </w:p>
        </w:tc>
        <w:tc>
          <w:tcPr>
            <w:tcW w:w="102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19,487,427</w:t>
            </w:r>
          </w:p>
        </w:tc>
      </w:tr>
      <w:tr>
        <w:trPr>
          <w:trHeight w:val="182"/>
        </w:trPr>
        <w:tc>
          <w:tcPr>
            <w:tcW w:w="280" w:type="dxa"/>
            <w:vAlign w:val="bottom"/>
          </w:tcPr>
          <w:p>
            <w:pPr>
              <w:spacing w:after="0"/>
              <w:rPr>
                <w:sz w:val="15"/>
                <w:szCs w:val="15"/>
                <w:color w:val="auto"/>
              </w:rPr>
            </w:pPr>
          </w:p>
        </w:tc>
        <w:tc>
          <w:tcPr>
            <w:tcW w:w="542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6"/>
                <w:szCs w:val="16"/>
                <w:color w:val="auto"/>
              </w:rPr>
              <w:t>March 31, 2007</w:t>
            </w:r>
          </w:p>
        </w:tc>
        <w:tc>
          <w:tcPr>
            <w:tcW w:w="15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447,710</w:t>
            </w: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7,328,015</w:t>
            </w:r>
          </w:p>
        </w:tc>
      </w:tr>
      <w:tr>
        <w:trPr>
          <w:trHeight w:val="182"/>
        </w:trPr>
        <w:tc>
          <w:tcPr>
            <w:tcW w:w="280" w:type="dxa"/>
            <w:vAlign w:val="bottom"/>
          </w:tcPr>
          <w:p>
            <w:pPr>
              <w:spacing w:after="0"/>
              <w:rPr>
                <w:sz w:val="15"/>
                <w:szCs w:val="15"/>
                <w:color w:val="auto"/>
              </w:rPr>
            </w:pPr>
          </w:p>
        </w:tc>
        <w:tc>
          <w:tcPr>
            <w:tcW w:w="5420" w:type="dxa"/>
            <w:vAlign w:val="bottom"/>
            <w:gridSpan w:val="2"/>
          </w:tcPr>
          <w:p>
            <w:pPr>
              <w:ind w:left="20"/>
              <w:spacing w:after="0" w:line="182" w:lineRule="exact"/>
              <w:rPr>
                <w:sz w:val="20"/>
                <w:szCs w:val="20"/>
                <w:color w:val="auto"/>
              </w:rPr>
            </w:pPr>
            <w:r>
              <w:rPr>
                <w:rFonts w:ascii="Arial" w:cs="Arial" w:eastAsia="Arial" w:hAnsi="Arial"/>
                <w:sz w:val="16"/>
                <w:szCs w:val="16"/>
                <w:color w:val="auto"/>
              </w:rPr>
              <w:t>March 31, 2008</w:t>
            </w:r>
          </w:p>
        </w:tc>
        <w:tc>
          <w:tcPr>
            <w:tcW w:w="1840" w:type="dxa"/>
            <w:vAlign w:val="bottom"/>
            <w:gridSpan w:val="3"/>
          </w:tcPr>
          <w:p>
            <w:pPr>
              <w:jc w:val="right"/>
              <w:ind w:right="280"/>
              <w:spacing w:after="0" w:line="182" w:lineRule="exact"/>
              <w:rPr>
                <w:sz w:val="20"/>
                <w:szCs w:val="20"/>
                <w:color w:val="auto"/>
              </w:rPr>
            </w:pPr>
            <w:r>
              <w:rPr>
                <w:rFonts w:ascii="Arial" w:cs="Arial" w:eastAsia="Arial" w:hAnsi="Arial"/>
                <w:sz w:val="16"/>
                <w:szCs w:val="16"/>
                <w:color w:val="auto"/>
              </w:rPr>
              <w:t>2,200,752</w:t>
            </w:r>
          </w:p>
        </w:tc>
        <w:tc>
          <w:tcPr>
            <w:tcW w:w="120" w:type="dxa"/>
            <w:vAlign w:val="bottom"/>
          </w:tcPr>
          <w:p>
            <w:pPr>
              <w:spacing w:after="0"/>
              <w:rPr>
                <w:sz w:val="15"/>
                <w:szCs w:val="15"/>
                <w:color w:val="auto"/>
              </w:rPr>
            </w:pPr>
          </w:p>
        </w:tc>
        <w:tc>
          <w:tcPr>
            <w:tcW w:w="102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34,619,490</w:t>
            </w:r>
          </w:p>
        </w:tc>
      </w:tr>
      <w:tr>
        <w:trPr>
          <w:trHeight w:val="182"/>
        </w:trPr>
        <w:tc>
          <w:tcPr>
            <w:tcW w:w="280" w:type="dxa"/>
            <w:vAlign w:val="bottom"/>
          </w:tcPr>
          <w:p>
            <w:pPr>
              <w:spacing w:after="0"/>
              <w:rPr>
                <w:sz w:val="15"/>
                <w:szCs w:val="15"/>
                <w:color w:val="auto"/>
              </w:rPr>
            </w:pPr>
          </w:p>
        </w:tc>
        <w:tc>
          <w:tcPr>
            <w:tcW w:w="542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6"/>
                <w:szCs w:val="16"/>
                <w:color w:val="auto"/>
              </w:rPr>
              <w:t>June 30, 2008</w:t>
            </w:r>
          </w:p>
        </w:tc>
        <w:tc>
          <w:tcPr>
            <w:tcW w:w="1840" w:type="dxa"/>
            <w:vAlign w:val="bottom"/>
            <w:gridSpan w:val="3"/>
            <w:shd w:val="clear" w:color="auto" w:fill="CCEEFF"/>
          </w:tcPr>
          <w:p>
            <w:pPr>
              <w:jc w:val="right"/>
              <w:ind w:right="280"/>
              <w:spacing w:after="0" w:line="182" w:lineRule="exact"/>
              <w:rPr>
                <w:sz w:val="20"/>
                <w:szCs w:val="20"/>
                <w:color w:val="auto"/>
              </w:rPr>
            </w:pPr>
            <w:r>
              <w:rPr>
                <w:rFonts w:ascii="Arial" w:cs="Arial" w:eastAsia="Arial" w:hAnsi="Arial"/>
                <w:sz w:val="16"/>
                <w:szCs w:val="16"/>
                <w:color w:val="auto"/>
              </w:rPr>
              <w:t>1,203,560</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19,043,775</w:t>
            </w:r>
          </w:p>
        </w:tc>
      </w:tr>
      <w:tr>
        <w:trPr>
          <w:trHeight w:val="182"/>
        </w:trPr>
        <w:tc>
          <w:tcPr>
            <w:tcW w:w="280" w:type="dxa"/>
            <w:vAlign w:val="bottom"/>
          </w:tcPr>
          <w:p>
            <w:pPr>
              <w:spacing w:after="0"/>
              <w:rPr>
                <w:sz w:val="15"/>
                <w:szCs w:val="15"/>
                <w:color w:val="auto"/>
              </w:rPr>
            </w:pPr>
          </w:p>
        </w:tc>
        <w:tc>
          <w:tcPr>
            <w:tcW w:w="5420" w:type="dxa"/>
            <w:vAlign w:val="bottom"/>
            <w:gridSpan w:val="2"/>
          </w:tcPr>
          <w:p>
            <w:pPr>
              <w:ind w:left="20"/>
              <w:spacing w:after="0" w:line="182" w:lineRule="exact"/>
              <w:rPr>
                <w:sz w:val="20"/>
                <w:szCs w:val="20"/>
                <w:color w:val="auto"/>
              </w:rPr>
            </w:pPr>
            <w:r>
              <w:rPr>
                <w:rFonts w:ascii="Arial" w:cs="Arial" w:eastAsia="Arial" w:hAnsi="Arial"/>
                <w:sz w:val="16"/>
                <w:szCs w:val="16"/>
                <w:color w:val="auto"/>
              </w:rPr>
              <w:t>September 30, 2008</w:t>
            </w:r>
          </w:p>
        </w:tc>
        <w:tc>
          <w:tcPr>
            <w:tcW w:w="1840" w:type="dxa"/>
            <w:vAlign w:val="bottom"/>
            <w:gridSpan w:val="3"/>
          </w:tcPr>
          <w:p>
            <w:pPr>
              <w:jc w:val="right"/>
              <w:ind w:right="280"/>
              <w:spacing w:after="0" w:line="182" w:lineRule="exact"/>
              <w:rPr>
                <w:sz w:val="20"/>
                <w:szCs w:val="20"/>
                <w:color w:val="auto"/>
              </w:rPr>
            </w:pPr>
            <w:r>
              <w:rPr>
                <w:rFonts w:ascii="Arial" w:cs="Arial" w:eastAsia="Arial" w:hAnsi="Arial"/>
                <w:sz w:val="16"/>
                <w:szCs w:val="16"/>
                <w:color w:val="auto"/>
              </w:rPr>
              <w:t>2,519,153</w:t>
            </w:r>
          </w:p>
        </w:tc>
        <w:tc>
          <w:tcPr>
            <w:tcW w:w="120" w:type="dxa"/>
            <w:vAlign w:val="bottom"/>
          </w:tcPr>
          <w:p>
            <w:pPr>
              <w:spacing w:after="0"/>
              <w:rPr>
                <w:sz w:val="15"/>
                <w:szCs w:val="15"/>
                <w:color w:val="auto"/>
              </w:rPr>
            </w:pPr>
          </w:p>
        </w:tc>
        <w:tc>
          <w:tcPr>
            <w:tcW w:w="102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39,689,410</w:t>
            </w:r>
          </w:p>
        </w:tc>
      </w:tr>
      <w:tr>
        <w:trPr>
          <w:trHeight w:val="182"/>
        </w:trPr>
        <w:tc>
          <w:tcPr>
            <w:tcW w:w="280" w:type="dxa"/>
            <w:vAlign w:val="bottom"/>
          </w:tcPr>
          <w:p>
            <w:pPr>
              <w:spacing w:after="0"/>
              <w:rPr>
                <w:sz w:val="15"/>
                <w:szCs w:val="15"/>
                <w:color w:val="auto"/>
              </w:rPr>
            </w:pPr>
          </w:p>
        </w:tc>
        <w:tc>
          <w:tcPr>
            <w:tcW w:w="542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6"/>
                <w:szCs w:val="16"/>
                <w:color w:val="auto"/>
              </w:rPr>
              <w:t>December 31, 2008</w:t>
            </w:r>
          </w:p>
        </w:tc>
        <w:tc>
          <w:tcPr>
            <w:tcW w:w="220" w:type="dxa"/>
            <w:vAlign w:val="bottom"/>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2,125,253</w:t>
            </w:r>
          </w:p>
        </w:tc>
        <w:tc>
          <w:tcPr>
            <w:tcW w:w="2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17,907,128</w:t>
            </w:r>
          </w:p>
        </w:tc>
        <w:tc>
          <w:tcPr>
            <w:tcW w:w="60" w:type="dxa"/>
            <w:vAlign w:val="bottom"/>
            <w:shd w:val="clear" w:color="auto" w:fill="CCEEFF"/>
          </w:tcPr>
          <w:p>
            <w:pPr>
              <w:spacing w:after="0"/>
              <w:rPr>
                <w:sz w:val="15"/>
                <w:szCs w:val="15"/>
                <w:color w:val="auto"/>
              </w:rPr>
            </w:pPr>
          </w:p>
        </w:tc>
      </w:tr>
      <w:tr>
        <w:trPr>
          <w:trHeight w:val="198"/>
        </w:trPr>
        <w:tc>
          <w:tcPr>
            <w:tcW w:w="280" w:type="dxa"/>
            <w:vAlign w:val="bottom"/>
          </w:tcPr>
          <w:p>
            <w:pPr>
              <w:spacing w:after="0"/>
              <w:rPr>
                <w:sz w:val="17"/>
                <w:szCs w:val="17"/>
                <w:color w:val="auto"/>
              </w:rPr>
            </w:pPr>
          </w:p>
        </w:tc>
        <w:tc>
          <w:tcPr>
            <w:tcW w:w="5420" w:type="dxa"/>
            <w:vAlign w:val="bottom"/>
            <w:gridSpan w:val="2"/>
          </w:tcPr>
          <w:p>
            <w:pPr>
              <w:ind w:left="20"/>
              <w:spacing w:after="0"/>
              <w:rPr>
                <w:sz w:val="20"/>
                <w:szCs w:val="20"/>
                <w:color w:val="auto"/>
              </w:rPr>
            </w:pPr>
            <w:r>
              <w:rPr>
                <w:rFonts w:ascii="Arial" w:cs="Arial" w:eastAsia="Arial" w:hAnsi="Arial"/>
                <w:sz w:val="16"/>
                <w:szCs w:val="16"/>
                <w:color w:val="auto"/>
              </w:rPr>
              <w:t>Total</w:t>
            </w:r>
          </w:p>
        </w:tc>
        <w:tc>
          <w:tcPr>
            <w:tcW w:w="1560" w:type="dxa"/>
            <w:vAlign w:val="bottom"/>
            <w:gridSpan w:val="2"/>
          </w:tcPr>
          <w:p>
            <w:pPr>
              <w:jc w:val="right"/>
              <w:spacing w:after="0"/>
              <w:rPr>
                <w:sz w:val="20"/>
                <w:szCs w:val="20"/>
                <w:color w:val="auto"/>
              </w:rPr>
            </w:pPr>
            <w:r>
              <w:rPr>
                <w:rFonts w:ascii="Arial" w:cs="Arial" w:eastAsia="Arial" w:hAnsi="Arial"/>
                <w:sz w:val="16"/>
                <w:szCs w:val="16"/>
                <w:color w:val="auto"/>
              </w:rPr>
              <w:t>26,028,171</w:t>
            </w:r>
          </w:p>
        </w:tc>
        <w:tc>
          <w:tcPr>
            <w:tcW w:w="2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380,900,454</w:t>
            </w:r>
          </w:p>
        </w:tc>
      </w:tr>
      <w:tr>
        <w:trPr>
          <w:trHeight w:val="20"/>
        </w:trPr>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9"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1,971,829 shares remain authorized to be repurchased under the plan as of December 31, 2009.</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Inflation, Changing Prices and Other</w:t>
      </w:r>
    </w:p>
    <w:p>
      <w:pPr>
        <w:spacing w:after="0" w:line="176" w:lineRule="exact"/>
        <w:rPr>
          <w:sz w:val="20"/>
          <w:szCs w:val="20"/>
          <w:color w:val="auto"/>
        </w:rPr>
      </w:pPr>
    </w:p>
    <w:p>
      <w:pPr>
        <w:ind w:left="280" w:right="1559"/>
        <w:spacing w:after="0" w:line="239" w:lineRule="auto"/>
        <w:rPr>
          <w:sz w:val="20"/>
          <w:szCs w:val="20"/>
          <w:color w:val="auto"/>
        </w:rPr>
      </w:pPr>
      <w:r>
        <w:rPr>
          <w:rFonts w:ascii="Arial" w:cs="Arial" w:eastAsia="Arial" w:hAnsi="Arial"/>
          <w:sz w:val="16"/>
          <w:szCs w:val="16"/>
          <w:color w:val="auto"/>
        </w:rPr>
        <w:t>The Company generally supplies auto-dimming mirrors to its customers worldwide under annual blanket purchase orders. During 2005, the Company negotiated an extension to its long-term agreement with General Motors (GM) in the ordinary course of the Company’s business. Under the extension, the Company was sourced virtually all the interior auto-dimming rearview mirror programs for GM and its worldwide affiliates through August 2009, except for two low-volume models that had previously been awarded to a competitor under a lifetime contract. The new business also included the GMT360 program, which is the mid-size truck/SUV platform that previously did not offer auto-dimming mirrors. The GM programs were transferred to the Company by the 2007 model year. During 2008, the Company negotiated another extension to the existing agreement, through August 1, 2012, in the ordinary course of the Company’s business. GM intends to honor its existing agreements with the Company despite their Chapter 11 Bankruptcy filing in June 2009.</w:t>
      </w:r>
    </w:p>
    <w:p>
      <w:pPr>
        <w:spacing w:after="0" w:line="160" w:lineRule="exact"/>
        <w:rPr>
          <w:sz w:val="20"/>
          <w:szCs w:val="20"/>
          <w:color w:val="auto"/>
        </w:rPr>
      </w:pPr>
    </w:p>
    <w:p>
      <w:pPr>
        <w:ind w:left="280" w:right="1639"/>
        <w:spacing w:after="0" w:line="239" w:lineRule="auto"/>
        <w:rPr>
          <w:sz w:val="20"/>
          <w:szCs w:val="20"/>
          <w:color w:val="auto"/>
        </w:rPr>
      </w:pPr>
      <w:r>
        <w:rPr>
          <w:rFonts w:ascii="Arial" w:cs="Arial" w:eastAsia="Arial" w:hAnsi="Arial"/>
          <w:sz w:val="16"/>
          <w:szCs w:val="16"/>
          <w:color w:val="auto"/>
        </w:rPr>
        <w:t>The Company had a long-term agreement with Daimler AG (formerly DaimlerChrysler AG) in the ordinary course of the Company’s business. Under the agreement, the Company was sourced virtually all interior and exterior auto-dimming mirror business at Mercedes and Chrysler through December 2009. The Company’s exterior auto-dimming mirror sub-assemblies are supplied by means of sales to exterior mirror suppliers. During 2007, the Company negotiated an extension to its global supply agreement with Chrysler LLC in the ordinary course of the Company’s business. Under the extension, the Company will be sourced virtually all Chrysler interior auto-dimming rearview mirrors through 2015. Chrysler intends to honor its agreements with the Company despite their Chapter 11 Bankruptcy filing in April 2009. From publicly available information, the Company does not believe that the Daimler sale of the Chrysler unit will significantly impact the Company’s current business with Chrysler or Mercedes in the near term, but there may be other information of which the Company is not aware.</w:t>
      </w:r>
    </w:p>
    <w:p>
      <w:pPr>
        <w:spacing w:after="0" w:line="148" w:lineRule="exact"/>
        <w:rPr>
          <w:sz w:val="20"/>
          <w:szCs w:val="20"/>
          <w:color w:val="auto"/>
        </w:rPr>
      </w:pPr>
    </w:p>
    <w:p>
      <w:pPr>
        <w:ind w:left="280" w:right="1779"/>
        <w:spacing w:after="0" w:line="242" w:lineRule="auto"/>
        <w:rPr>
          <w:sz w:val="20"/>
          <w:szCs w:val="20"/>
          <w:color w:val="auto"/>
        </w:rPr>
      </w:pPr>
      <w:r>
        <w:rPr>
          <w:rFonts w:ascii="Arial" w:cs="Arial" w:eastAsia="Arial" w:hAnsi="Arial"/>
          <w:sz w:val="16"/>
          <w:szCs w:val="16"/>
          <w:color w:val="auto"/>
        </w:rPr>
        <w:t>The Company negotiated a multi-sourcing agreement with Ford Motor Company in the ordinary course of the Company’s business. Under the agreement, the Company was sourced all existing interior auto-dimming rearview mirror programs as well as a number of new interior auto-dimming rearview mirror program during the agreement term which ended on December 31, 2008.</w:t>
      </w:r>
    </w:p>
    <w:p>
      <w:pPr>
        <w:spacing w:after="0" w:line="200" w:lineRule="exact"/>
        <w:rPr>
          <w:sz w:val="20"/>
          <w:szCs w:val="20"/>
          <w:color w:val="auto"/>
        </w:rPr>
      </w:pPr>
    </w:p>
    <w:p>
      <w:pPr>
        <w:spacing w:after="0" w:line="29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81" w:right="1440"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280" w:right="1559"/>
        <w:spacing w:after="0" w:line="239" w:lineRule="auto"/>
        <w:rPr>
          <w:sz w:val="20"/>
          <w:szCs w:val="20"/>
          <w:color w:val="auto"/>
        </w:rPr>
      </w:pPr>
      <w:r>
        <w:rPr>
          <w:rFonts w:ascii="Arial" w:cs="Arial" w:eastAsia="Arial" w:hAnsi="Arial"/>
          <w:sz w:val="16"/>
          <w:szCs w:val="16"/>
          <w:color w:val="auto"/>
        </w:rPr>
        <w:t>In response to the weakness in the automotive market, the Company eliminated its entire contract workforce, which was followed by the elimination of a third shift near the end of the third quarter of 2008. In addition, the Company offered voluntary layoffs, had a partial plan shutdown the week of the 2008 Thanksgiving holiday and had extended plant shutdowns over the 2008 Christmas and 2009 New Year holidays in response to similar plant shutdowns by its automotive customers. As automotive production schedules continued to weaken, the Company permanently laid off approximately 290 hourly and 70 salaried workers in December 2008, which reduced overhead and operating expenses, bringing them to a level that was more in line with sales/production levels in the automotive and fire protection industries. The salaried workforce reductions reduced overhead and operating expenses by approximately $5.5 — $6 million on an annualized basis. Approximately half of the reduced expense impacts the Company’s overhead expenses, and the other half impacts the Company’s operating expenses, primarily in the engineering, research and development areas. The Company also instituted rolling layoffs within the hourly production workforce throughout the first quarter of 2009.</w:t>
      </w:r>
    </w:p>
    <w:p>
      <w:pPr>
        <w:spacing w:after="0" w:line="159" w:lineRule="exact"/>
        <w:rPr>
          <w:sz w:val="20"/>
          <w:szCs w:val="20"/>
          <w:color w:val="auto"/>
        </w:rPr>
      </w:pPr>
    </w:p>
    <w:p>
      <w:pPr>
        <w:ind w:left="280" w:right="1599"/>
        <w:spacing w:after="0" w:line="241" w:lineRule="auto"/>
        <w:rPr>
          <w:sz w:val="20"/>
          <w:szCs w:val="20"/>
          <w:color w:val="auto"/>
        </w:rPr>
      </w:pPr>
      <w:r>
        <w:rPr>
          <w:rFonts w:ascii="Arial" w:cs="Arial" w:eastAsia="Arial" w:hAnsi="Arial"/>
          <w:sz w:val="16"/>
          <w:szCs w:val="16"/>
          <w:color w:val="auto"/>
        </w:rPr>
        <w:t>As the automotive production environment improved during the second half of 2009, the Company added temporary contract workers, some direct hire hourly workers and resumed third shift production during the third quarter of 2009. The Company continues to monitor customer vehicle production plans closely now that automotive vehicle sales levels are lower than automotive production levels. OEM’s may need to adjust their production plans for the lower sales level.</w:t>
      </w:r>
    </w:p>
    <w:p>
      <w:pPr>
        <w:spacing w:after="0" w:line="145" w:lineRule="exact"/>
        <w:rPr>
          <w:sz w:val="20"/>
          <w:szCs w:val="20"/>
          <w:color w:val="auto"/>
        </w:rPr>
      </w:pPr>
    </w:p>
    <w:p>
      <w:pPr>
        <w:ind w:left="280" w:right="1719"/>
        <w:spacing w:after="0" w:line="242" w:lineRule="auto"/>
        <w:rPr>
          <w:sz w:val="20"/>
          <w:szCs w:val="20"/>
          <w:color w:val="auto"/>
        </w:rPr>
      </w:pPr>
      <w:r>
        <w:rPr>
          <w:rFonts w:ascii="Arial" w:cs="Arial" w:eastAsia="Arial" w:hAnsi="Arial"/>
          <w:sz w:val="16"/>
          <w:szCs w:val="16"/>
          <w:color w:val="auto"/>
        </w:rPr>
        <w:t>The global governmental vehicle stimulus programs, such as the “Cash for Clunkers” program in the United States, did not have a significant direct effect on the Company’s production levels in 2009, since the smaller vehicles that people were mostly purchasing were those that typically did not contain significant Gentex content. However, there may have been some indirect effect due to the increased showroom traffic that those programs created.</w:t>
      </w:r>
    </w:p>
    <w:p>
      <w:pPr>
        <w:spacing w:after="0" w:line="145" w:lineRule="exact"/>
        <w:rPr>
          <w:sz w:val="20"/>
          <w:szCs w:val="20"/>
          <w:color w:val="auto"/>
        </w:rPr>
      </w:pPr>
    </w:p>
    <w:p>
      <w:pPr>
        <w:ind w:left="280" w:right="1579"/>
        <w:spacing w:after="0"/>
        <w:rPr>
          <w:sz w:val="20"/>
          <w:szCs w:val="20"/>
          <w:color w:val="auto"/>
        </w:rPr>
      </w:pPr>
      <w:r>
        <w:rPr>
          <w:rFonts w:ascii="Arial" w:cs="Arial" w:eastAsia="Arial" w:hAnsi="Arial"/>
          <w:sz w:val="16"/>
          <w:szCs w:val="16"/>
          <w:color w:val="auto"/>
        </w:rPr>
        <w:t>The Company currently estimates that top line revenue will increase approximately 80-90% in the first quarter of 2010 compared with the same period in 2009 based on the current CSM forecast for light vehicle production levels and our anticipated product mix. These estimates are based on light vehicle production forecasts in the regions to which the Company ships product, as well as the estimated option rates for its mirrors on prospective vehicle models and anticipated product mix. Uncertainties, including light vehicle production levels, extended automotive plant shutdowns, sales rates in North America, Europe and Asia, customer inventory management, and the impact of potential automotive customer (including their Tier 1 suppliers) bankruptcies, work stoppages, strikes, supplier part shortages, etc., which could disrupt our shipments to these customers making forecasting difficult. Due to significant uncertainties with global vehicle production volumes, it is an extremely difficult environment to forecast, and as a result, the Company is not providing revenue estimates beyond the first quarter of 2010 at this time. The Company also estimates that engineering, research and development expenses are currently expected to increase approximately 15% in the first quarter of 2010 compared with the same period in 2009, primarily due to increased variable employee compensation and some hiring. In addition, the Company estimates that selling, general and administrative expenses are currently expected to increase approximately 10-15% in the first quarter of 2010 compared with the same period in 2009, primarily due to increased variable employee compensation and foreign exchange rates.</w:t>
      </w:r>
    </w:p>
    <w:p>
      <w:pPr>
        <w:spacing w:after="0" w:line="324" w:lineRule="exact"/>
        <w:rPr>
          <w:sz w:val="20"/>
          <w:szCs w:val="20"/>
          <w:color w:val="auto"/>
        </w:rPr>
      </w:pPr>
    </w:p>
    <w:p>
      <w:pPr>
        <w:ind w:left="280" w:right="1779"/>
        <w:spacing w:after="0" w:line="246" w:lineRule="auto"/>
        <w:rPr>
          <w:sz w:val="20"/>
          <w:szCs w:val="20"/>
          <w:color w:val="auto"/>
        </w:rPr>
      </w:pPr>
      <w:r>
        <w:rPr>
          <w:rFonts w:ascii="Arial" w:cs="Arial" w:eastAsia="Arial" w:hAnsi="Arial"/>
          <w:sz w:val="16"/>
          <w:szCs w:val="16"/>
          <w:color w:val="auto"/>
        </w:rPr>
        <w:t>Based on the current CSM forecast for light vehicle production levels, we currently estimate that SmartBeam</w:t>
      </w:r>
      <w:r>
        <w:rPr>
          <w:rFonts w:ascii="Arial" w:cs="Arial" w:eastAsia="Arial" w:hAnsi="Arial"/>
          <w:sz w:val="13"/>
          <w:szCs w:val="13"/>
          <w:color w:val="auto"/>
        </w:rPr>
        <w:t>®</w:t>
      </w:r>
      <w:r>
        <w:rPr>
          <w:rFonts w:ascii="Arial" w:cs="Arial" w:eastAsia="Arial" w:hAnsi="Arial"/>
          <w:sz w:val="16"/>
          <w:szCs w:val="16"/>
          <w:color w:val="auto"/>
        </w:rPr>
        <w:t xml:space="preserve"> unit shipments will increase approximately 30-40% in calendar year 2010, and that RCD Mirror unit shipments will increase approximately 60-75% in calendar year 2010.</w:t>
      </w:r>
    </w:p>
    <w:p>
      <w:pPr>
        <w:spacing w:after="0" w:line="141" w:lineRule="exact"/>
        <w:rPr>
          <w:sz w:val="20"/>
          <w:szCs w:val="20"/>
          <w:color w:val="auto"/>
        </w:rPr>
      </w:pPr>
    </w:p>
    <w:p>
      <w:pPr>
        <w:ind w:left="280" w:right="1539"/>
        <w:spacing w:after="0" w:line="241" w:lineRule="auto"/>
        <w:rPr>
          <w:sz w:val="20"/>
          <w:szCs w:val="20"/>
          <w:color w:val="auto"/>
        </w:rPr>
      </w:pPr>
      <w:r>
        <w:rPr>
          <w:rFonts w:ascii="Arial" w:cs="Arial" w:eastAsia="Arial" w:hAnsi="Arial"/>
          <w:sz w:val="16"/>
          <w:szCs w:val="16"/>
          <w:color w:val="auto"/>
        </w:rPr>
        <w:t>The Company utilizes the light vehicle production forecasting services of CSM Worldwide, and CSM’s current forecasts for light vehicle production for the first quarter of 2010 are approximately 2.6 million units for North America, 4.2 million for Europe and 3.1 million for Japan and Korea. Current forecasts for light vehicle production for calendar 2010 are approximately 10.6 million units for North America, 16.2 million for Europe and 12.2 million for Japan and Korea.</w:t>
      </w:r>
    </w:p>
    <w:p>
      <w:pPr>
        <w:spacing w:after="0" w:line="145" w:lineRule="exact"/>
        <w:rPr>
          <w:sz w:val="20"/>
          <w:szCs w:val="20"/>
          <w:color w:val="auto"/>
        </w:rPr>
      </w:pPr>
    </w:p>
    <w:p>
      <w:pPr>
        <w:ind w:left="280" w:right="1859"/>
        <w:spacing w:after="0" w:line="251" w:lineRule="auto"/>
        <w:rPr>
          <w:sz w:val="20"/>
          <w:szCs w:val="20"/>
          <w:color w:val="auto"/>
        </w:rPr>
      </w:pPr>
      <w:r>
        <w:rPr>
          <w:rFonts w:ascii="Arial" w:cs="Arial" w:eastAsia="Arial" w:hAnsi="Arial"/>
          <w:sz w:val="16"/>
          <w:szCs w:val="16"/>
          <w:color w:val="auto"/>
        </w:rPr>
        <w:t>The Company does not have any significant off-balance sheet arrangements or commitments that have not been recorded in it consolidated financial statements.</w:t>
      </w:r>
    </w:p>
    <w:p>
      <w:pPr>
        <w:spacing w:after="0" w:line="130"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Market Risk Disclosure</w:t>
      </w:r>
    </w:p>
    <w:p>
      <w:pPr>
        <w:spacing w:after="0" w:line="176" w:lineRule="exact"/>
        <w:rPr>
          <w:sz w:val="20"/>
          <w:szCs w:val="20"/>
          <w:color w:val="auto"/>
        </w:rPr>
      </w:pPr>
    </w:p>
    <w:p>
      <w:pPr>
        <w:ind w:left="280" w:right="1679"/>
        <w:spacing w:after="0" w:line="251" w:lineRule="auto"/>
        <w:rPr>
          <w:sz w:val="20"/>
          <w:szCs w:val="20"/>
          <w:color w:val="auto"/>
        </w:rPr>
      </w:pPr>
      <w:r>
        <w:rPr>
          <w:rFonts w:ascii="Arial" w:cs="Arial" w:eastAsia="Arial" w:hAnsi="Arial"/>
          <w:sz w:val="16"/>
          <w:szCs w:val="16"/>
          <w:color w:val="auto"/>
        </w:rPr>
        <w:t>The Company is subject to market risk exposures of varying correlations and volatilities, including foreign exchange rate risk, interest rate risk and equity price risk.</w:t>
      </w:r>
    </w:p>
    <w:p>
      <w:pPr>
        <w:spacing w:after="0" w:line="138" w:lineRule="exact"/>
        <w:rPr>
          <w:sz w:val="20"/>
          <w:szCs w:val="20"/>
          <w:color w:val="auto"/>
        </w:rPr>
      </w:pPr>
    </w:p>
    <w:p>
      <w:pPr>
        <w:ind w:left="280" w:right="1619"/>
        <w:spacing w:after="0" w:line="242" w:lineRule="auto"/>
        <w:rPr>
          <w:sz w:val="20"/>
          <w:szCs w:val="20"/>
          <w:color w:val="auto"/>
        </w:rPr>
      </w:pPr>
      <w:r>
        <w:rPr>
          <w:rFonts w:ascii="Arial" w:cs="Arial" w:eastAsia="Arial" w:hAnsi="Arial"/>
          <w:sz w:val="16"/>
          <w:szCs w:val="16"/>
          <w:color w:val="auto"/>
        </w:rPr>
        <w:t>The Company has some assets, liabilities and operations outside the United States, including a Euro denominated account, which currently are not significant. Because the Company sells its automotive mirrors throughout the world, it could be significantly affected by weak economic conditions in foreign markets that could reduce demand for its products.</w:t>
      </w:r>
    </w:p>
    <w:p>
      <w:pPr>
        <w:spacing w:after="0" w:line="200" w:lineRule="exact"/>
        <w:rPr>
          <w:sz w:val="20"/>
          <w:szCs w:val="20"/>
          <w:color w:val="auto"/>
        </w:rPr>
      </w:pPr>
    </w:p>
    <w:p>
      <w:pPr>
        <w:spacing w:after="0" w:line="29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ind w:left="280" w:right="1579"/>
        <w:spacing w:after="0"/>
        <w:rPr>
          <w:sz w:val="20"/>
          <w:szCs w:val="20"/>
          <w:color w:val="auto"/>
        </w:rPr>
      </w:pPr>
      <w:r>
        <w:rPr>
          <w:rFonts w:ascii="Arial" w:cs="Arial" w:eastAsia="Arial" w:hAnsi="Arial"/>
          <w:sz w:val="16"/>
          <w:szCs w:val="16"/>
          <w:color w:val="auto"/>
        </w:rPr>
        <w:t>Most of the Company’s non-U.S. sales are invoiced and paid in U.S. dollars; during 2009, approximately 11% of the Company’s net sales were invoiced and paid in European Euros (compared to 13% for 2008 and 15% for 2007). The Company currently expects that approximately 6% of the Company’s net sales in 2010 will be invoiced and paid in European Euros. The expected reduction in Euro denominated sales in 2010 is the result of a major customer in Europe switching certain programs back from Euro denominated sales to U.S. dollars. The Company does not currently engage in hedging activities.</w:t>
      </w:r>
    </w:p>
    <w:p>
      <w:pPr>
        <w:spacing w:after="0" w:line="160" w:lineRule="exact"/>
        <w:rPr>
          <w:sz w:val="20"/>
          <w:szCs w:val="20"/>
          <w:color w:val="auto"/>
        </w:rPr>
      </w:pPr>
    </w:p>
    <w:p>
      <w:pPr>
        <w:ind w:left="280" w:right="1859"/>
        <w:spacing w:after="0" w:line="244" w:lineRule="auto"/>
        <w:rPr>
          <w:sz w:val="20"/>
          <w:szCs w:val="20"/>
          <w:color w:val="auto"/>
        </w:rPr>
      </w:pPr>
      <w:r>
        <w:rPr>
          <w:rFonts w:ascii="Arial" w:cs="Arial" w:eastAsia="Arial" w:hAnsi="Arial"/>
          <w:sz w:val="16"/>
          <w:szCs w:val="16"/>
          <w:color w:val="auto"/>
        </w:rPr>
        <w:t>The Company manages interest rate risk and default risk in its fixed-income investment portfolio by investing in shorter-term maturities and investment grade issues. The Company’s fixed-income investments’ maturities at fair value (000,000) and average interest rates are as follows:</w:t>
      </w:r>
    </w:p>
    <w:p>
      <w:pPr>
        <w:spacing w:after="0" w:line="166"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2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60" w:type="dxa"/>
            <w:vAlign w:val="bottom"/>
            <w:gridSpan w:val="5"/>
          </w:tcPr>
          <w:p>
            <w:pPr>
              <w:ind w:left="60"/>
              <w:spacing w:after="0"/>
              <w:rPr>
                <w:sz w:val="20"/>
                <w:szCs w:val="20"/>
                <w:color w:val="auto"/>
              </w:rPr>
            </w:pPr>
            <w:r>
              <w:rPr>
                <w:rFonts w:ascii="Arial" w:cs="Arial" w:eastAsia="Arial" w:hAnsi="Arial"/>
                <w:sz w:val="16"/>
                <w:szCs w:val="16"/>
                <w:color w:val="auto"/>
              </w:rPr>
              <w:t>Total Balance as of</w:t>
            </w:r>
          </w:p>
        </w:tc>
        <w:tc>
          <w:tcPr>
            <w:tcW w:w="0" w:type="dxa"/>
            <w:vAlign w:val="bottom"/>
          </w:tcPr>
          <w:p>
            <w:pPr>
              <w:spacing w:after="0"/>
              <w:rPr>
                <w:sz w:val="1"/>
                <w:szCs w:val="1"/>
                <w:color w:val="auto"/>
              </w:rPr>
            </w:pPr>
          </w:p>
        </w:tc>
      </w:tr>
      <w:tr>
        <w:trPr>
          <w:trHeight w:val="183"/>
        </w:trPr>
        <w:tc>
          <w:tcPr>
            <w:tcW w:w="2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vMerge w:val="restart"/>
          </w:tcPr>
          <w:p>
            <w:pPr>
              <w:jc w:val="right"/>
              <w:ind w:right="79"/>
              <w:spacing w:after="0"/>
              <w:rPr>
                <w:sz w:val="20"/>
                <w:szCs w:val="20"/>
                <w:color w:val="auto"/>
              </w:rPr>
            </w:pPr>
            <w:r>
              <w:rPr>
                <w:rFonts w:ascii="Arial" w:cs="Arial" w:eastAsia="Arial" w:hAnsi="Arial"/>
                <w:sz w:val="16"/>
                <w:szCs w:val="16"/>
                <w:color w:val="auto"/>
              </w:rPr>
              <w:t>2010</w:t>
            </w:r>
          </w:p>
        </w:tc>
        <w:tc>
          <w:tcPr>
            <w:tcW w:w="400" w:type="dxa"/>
            <w:vAlign w:val="bottom"/>
          </w:tcPr>
          <w:p>
            <w:pPr>
              <w:spacing w:after="0"/>
              <w:rPr>
                <w:sz w:val="15"/>
                <w:szCs w:val="15"/>
                <w:color w:val="auto"/>
              </w:rPr>
            </w:pPr>
          </w:p>
        </w:tc>
        <w:tc>
          <w:tcPr>
            <w:tcW w:w="640" w:type="dxa"/>
            <w:vAlign w:val="bottom"/>
            <w:vMerge w:val="restart"/>
          </w:tcPr>
          <w:p>
            <w:pPr>
              <w:ind w:left="140"/>
              <w:spacing w:after="0"/>
              <w:rPr>
                <w:sz w:val="20"/>
                <w:szCs w:val="20"/>
                <w:color w:val="auto"/>
              </w:rPr>
            </w:pPr>
            <w:r>
              <w:rPr>
                <w:rFonts w:ascii="Arial" w:cs="Arial" w:eastAsia="Arial" w:hAnsi="Arial"/>
                <w:sz w:val="16"/>
                <w:szCs w:val="16"/>
                <w:color w:val="auto"/>
              </w:rPr>
              <w:t>2011</w:t>
            </w:r>
          </w:p>
        </w:tc>
        <w:tc>
          <w:tcPr>
            <w:tcW w:w="320" w:type="dxa"/>
            <w:vAlign w:val="bottom"/>
          </w:tcPr>
          <w:p>
            <w:pPr>
              <w:spacing w:after="0"/>
              <w:rPr>
                <w:sz w:val="15"/>
                <w:szCs w:val="15"/>
                <w:color w:val="auto"/>
              </w:rPr>
            </w:pPr>
          </w:p>
        </w:tc>
        <w:tc>
          <w:tcPr>
            <w:tcW w:w="660" w:type="dxa"/>
            <w:vAlign w:val="bottom"/>
            <w:vMerge w:val="restart"/>
          </w:tcPr>
          <w:p>
            <w:pPr>
              <w:ind w:left="160"/>
              <w:spacing w:after="0"/>
              <w:rPr>
                <w:sz w:val="20"/>
                <w:szCs w:val="20"/>
                <w:color w:val="auto"/>
              </w:rPr>
            </w:pPr>
            <w:r>
              <w:rPr>
                <w:rFonts w:ascii="Arial" w:cs="Arial" w:eastAsia="Arial" w:hAnsi="Arial"/>
                <w:sz w:val="16"/>
                <w:szCs w:val="16"/>
                <w:color w:val="auto"/>
              </w:rPr>
              <w:t>2012</w:t>
            </w:r>
          </w:p>
        </w:tc>
        <w:tc>
          <w:tcPr>
            <w:tcW w:w="320" w:type="dxa"/>
            <w:vAlign w:val="bottom"/>
          </w:tcPr>
          <w:p>
            <w:pPr>
              <w:spacing w:after="0"/>
              <w:rPr>
                <w:sz w:val="15"/>
                <w:szCs w:val="15"/>
                <w:color w:val="auto"/>
              </w:rPr>
            </w:pPr>
          </w:p>
        </w:tc>
        <w:tc>
          <w:tcPr>
            <w:tcW w:w="660" w:type="dxa"/>
            <w:vAlign w:val="bottom"/>
            <w:vMerge w:val="restart"/>
          </w:tcPr>
          <w:p>
            <w:pPr>
              <w:ind w:left="140"/>
              <w:spacing w:after="0"/>
              <w:rPr>
                <w:sz w:val="20"/>
                <w:szCs w:val="20"/>
                <w:color w:val="auto"/>
              </w:rPr>
            </w:pPr>
            <w:r>
              <w:rPr>
                <w:rFonts w:ascii="Arial" w:cs="Arial" w:eastAsia="Arial" w:hAnsi="Arial"/>
                <w:sz w:val="16"/>
                <w:szCs w:val="16"/>
                <w:color w:val="auto"/>
              </w:rPr>
              <w:t>2013</w:t>
            </w: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60" w:type="dxa"/>
            <w:vAlign w:val="bottom"/>
            <w:gridSpan w:val="5"/>
          </w:tcPr>
          <w:p>
            <w:pPr>
              <w:jc w:val="right"/>
              <w:ind w:right="500"/>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174"/>
        </w:trPr>
        <w:tc>
          <w:tcPr>
            <w:tcW w:w="25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ind w:left="40"/>
              <w:spacing w:after="0" w:line="175" w:lineRule="exact"/>
              <w:rPr>
                <w:sz w:val="20"/>
                <w:szCs w:val="20"/>
                <w:color w:val="auto"/>
              </w:rPr>
            </w:pPr>
            <w:r>
              <w:rPr>
                <w:rFonts w:ascii="Arial" w:cs="Arial" w:eastAsia="Arial" w:hAnsi="Arial"/>
                <w:sz w:val="16"/>
                <w:szCs w:val="16"/>
                <w:color w:val="auto"/>
              </w:rPr>
              <w:t>2009</w:t>
            </w:r>
          </w:p>
        </w:tc>
        <w:tc>
          <w:tcPr>
            <w:tcW w:w="400" w:type="dxa"/>
            <w:vAlign w:val="bottom"/>
            <w:tcBorders>
              <w:top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560" w:type="dxa"/>
            <w:vAlign w:val="bottom"/>
            <w:tcBorders>
              <w:top w:val="single" w:sz="8" w:color="auto"/>
              <w:bottom w:val="single" w:sz="8" w:color="auto"/>
            </w:tcBorders>
          </w:tcPr>
          <w:p>
            <w:pPr>
              <w:jc w:val="right"/>
              <w:ind w:right="79"/>
              <w:spacing w:after="0" w:line="175" w:lineRule="exact"/>
              <w:rPr>
                <w:sz w:val="20"/>
                <w:szCs w:val="20"/>
                <w:color w:val="auto"/>
              </w:rPr>
            </w:pPr>
            <w:r>
              <w:rPr>
                <w:rFonts w:ascii="Arial" w:cs="Arial" w:eastAsia="Arial" w:hAnsi="Arial"/>
                <w:sz w:val="16"/>
                <w:szCs w:val="16"/>
                <w:color w:val="auto"/>
              </w:rPr>
              <w:t>2008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5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U.S. Government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20" w:type="dxa"/>
            <w:vAlign w:val="bottom"/>
          </w:tcPr>
          <w:p>
            <w:pPr>
              <w:ind w:left="200"/>
              <w:spacing w:after="0" w:line="182" w:lineRule="exact"/>
              <w:rPr>
                <w:sz w:val="20"/>
                <w:szCs w:val="20"/>
                <w:color w:val="auto"/>
              </w:rPr>
            </w:pPr>
            <w:r>
              <w:rPr>
                <w:rFonts w:ascii="Arial" w:cs="Arial" w:eastAsia="Arial" w:hAnsi="Arial"/>
                <w:sz w:val="16"/>
                <w:szCs w:val="16"/>
                <w:color w:val="auto"/>
              </w:rPr>
              <w:t>Amount</w:t>
            </w:r>
          </w:p>
        </w:tc>
        <w:tc>
          <w:tcPr>
            <w:tcW w:w="140" w:type="dxa"/>
            <w:vAlign w:val="bottom"/>
          </w:tcPr>
          <w:p>
            <w:pPr>
              <w:spacing w:after="0"/>
              <w:rPr>
                <w:sz w:val="15"/>
                <w:szCs w:val="15"/>
                <w:color w:val="auto"/>
              </w:rPr>
            </w:pPr>
          </w:p>
        </w:tc>
        <w:tc>
          <w:tcPr>
            <w:tcW w:w="940" w:type="dxa"/>
            <w:vAlign w:val="bottom"/>
            <w:gridSpan w:val="2"/>
          </w:tcPr>
          <w:p>
            <w:pPr>
              <w:jc w:val="right"/>
              <w:ind w:right="400"/>
              <w:spacing w:after="0" w:line="182" w:lineRule="exact"/>
              <w:rPr>
                <w:sz w:val="20"/>
                <w:szCs w:val="20"/>
                <w:color w:val="auto"/>
              </w:rPr>
            </w:pPr>
            <w:r>
              <w:rPr>
                <w:rFonts w:ascii="Arial" w:cs="Arial" w:eastAsia="Arial" w:hAnsi="Arial"/>
                <w:sz w:val="16"/>
                <w:szCs w:val="16"/>
                <w:color w:val="auto"/>
              </w:rPr>
              <w:t>—</w:t>
            </w:r>
          </w:p>
        </w:tc>
        <w:tc>
          <w:tcPr>
            <w:tcW w:w="960" w:type="dxa"/>
            <w:vAlign w:val="bottom"/>
            <w:gridSpan w:val="2"/>
          </w:tcPr>
          <w:p>
            <w:pPr>
              <w:ind w:left="480"/>
              <w:spacing w:after="0" w:line="182" w:lineRule="exact"/>
              <w:rPr>
                <w:sz w:val="20"/>
                <w:szCs w:val="20"/>
                <w:color w:val="auto"/>
              </w:rPr>
            </w:pPr>
            <w:r>
              <w:rPr>
                <w:rFonts w:ascii="Arial" w:cs="Arial" w:eastAsia="Arial" w:hAnsi="Arial"/>
                <w:sz w:val="16"/>
                <w:szCs w:val="16"/>
                <w:color w:val="auto"/>
              </w:rPr>
              <w:t>—</w:t>
            </w:r>
          </w:p>
        </w:tc>
        <w:tc>
          <w:tcPr>
            <w:tcW w:w="980" w:type="dxa"/>
            <w:vAlign w:val="bottom"/>
            <w:gridSpan w:val="2"/>
          </w:tcPr>
          <w:p>
            <w:pPr>
              <w:ind w:left="500"/>
              <w:spacing w:after="0" w:line="182" w:lineRule="exact"/>
              <w:rPr>
                <w:sz w:val="20"/>
                <w:szCs w:val="20"/>
                <w:color w:val="auto"/>
              </w:rPr>
            </w:pPr>
            <w:r>
              <w:rPr>
                <w:rFonts w:ascii="Arial" w:cs="Arial" w:eastAsia="Arial" w:hAnsi="Arial"/>
                <w:sz w:val="16"/>
                <w:szCs w:val="16"/>
                <w:color w:val="auto"/>
              </w:rPr>
              <w:t>—</w:t>
            </w:r>
          </w:p>
        </w:tc>
        <w:tc>
          <w:tcPr>
            <w:tcW w:w="960" w:type="dxa"/>
            <w:vAlign w:val="bottom"/>
            <w:gridSpan w:val="2"/>
          </w:tcPr>
          <w:p>
            <w:pPr>
              <w:ind w:left="500"/>
              <w:spacing w:after="0" w:line="18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380"/>
              <w:spacing w:after="0" w:line="18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70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52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Average Interest Rate</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0"/>
              <w:spacing w:after="0" w:line="182" w:lineRule="exact"/>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480"/>
              <w:spacing w:after="0" w:line="182" w:lineRule="exact"/>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2520" w:type="dxa"/>
            <w:vAlign w:val="bottom"/>
          </w:tcPr>
          <w:p>
            <w:pPr>
              <w:ind w:left="20"/>
              <w:spacing w:after="0" w:line="182" w:lineRule="exact"/>
              <w:rPr>
                <w:sz w:val="20"/>
                <w:szCs w:val="20"/>
                <w:color w:val="auto"/>
              </w:rPr>
            </w:pPr>
            <w:r>
              <w:rPr>
                <w:rFonts w:ascii="Arial" w:cs="Arial" w:eastAsia="Arial" w:hAnsi="Arial"/>
                <w:sz w:val="16"/>
                <w:szCs w:val="16"/>
                <w:color w:val="auto"/>
              </w:rPr>
              <w:t>Government Agency</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2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Amount</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400"/>
              <w:spacing w:after="0" w:line="182" w:lineRule="exact"/>
              <w:rPr>
                <w:sz w:val="20"/>
                <w:szCs w:val="20"/>
                <w:color w:val="auto"/>
              </w:rPr>
            </w:pPr>
            <w:r>
              <w:rPr>
                <w:rFonts w:ascii="Arial" w:cs="Arial" w:eastAsia="Arial" w:hAnsi="Arial"/>
                <w:sz w:val="16"/>
                <w:szCs w:val="16"/>
                <w:color w:val="auto"/>
              </w:rPr>
              <w:t>17.1</w:t>
            </w:r>
          </w:p>
        </w:tc>
        <w:tc>
          <w:tcPr>
            <w:tcW w:w="960" w:type="dxa"/>
            <w:vAlign w:val="bottom"/>
            <w:gridSpan w:val="2"/>
            <w:shd w:val="clear" w:color="auto" w:fill="CCEEFF"/>
          </w:tcPr>
          <w:p>
            <w:pPr>
              <w:ind w:left="480"/>
              <w:spacing w:after="0" w:line="182" w:lineRule="exact"/>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500"/>
              <w:spacing w:after="0" w:line="182" w:lineRule="exact"/>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500"/>
              <w:spacing w:after="0" w:line="18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182"/>
        </w:trPr>
        <w:tc>
          <w:tcPr>
            <w:tcW w:w="2520" w:type="dxa"/>
            <w:vAlign w:val="bottom"/>
          </w:tcPr>
          <w:p>
            <w:pPr>
              <w:ind w:left="200"/>
              <w:spacing w:after="0" w:line="182" w:lineRule="exact"/>
              <w:rPr>
                <w:sz w:val="20"/>
                <w:szCs w:val="20"/>
                <w:color w:val="auto"/>
              </w:rPr>
            </w:pPr>
            <w:r>
              <w:rPr>
                <w:rFonts w:ascii="Arial" w:cs="Arial" w:eastAsia="Arial" w:hAnsi="Arial"/>
                <w:sz w:val="16"/>
                <w:szCs w:val="16"/>
                <w:color w:val="auto"/>
              </w:rPr>
              <w:t>Average Interest Rate</w:t>
            </w:r>
          </w:p>
        </w:tc>
        <w:tc>
          <w:tcPr>
            <w:tcW w:w="140" w:type="dxa"/>
            <w:vAlign w:val="bottom"/>
          </w:tcPr>
          <w:p>
            <w:pPr>
              <w:spacing w:after="0"/>
              <w:rPr>
                <w:sz w:val="15"/>
                <w:szCs w:val="15"/>
                <w:color w:val="auto"/>
              </w:rPr>
            </w:pPr>
          </w:p>
        </w:tc>
        <w:tc>
          <w:tcPr>
            <w:tcW w:w="940" w:type="dxa"/>
            <w:vAlign w:val="bottom"/>
            <w:gridSpan w:val="2"/>
          </w:tcPr>
          <w:p>
            <w:pPr>
              <w:jc w:val="right"/>
              <w:ind w:right="260"/>
              <w:spacing w:after="0" w:line="182" w:lineRule="exact"/>
              <w:rPr>
                <w:sz w:val="20"/>
                <w:szCs w:val="20"/>
                <w:color w:val="auto"/>
              </w:rPr>
            </w:pPr>
            <w:r>
              <w:rPr>
                <w:rFonts w:ascii="Arial" w:cs="Arial" w:eastAsia="Arial" w:hAnsi="Arial"/>
                <w:sz w:val="16"/>
                <w:szCs w:val="16"/>
                <w:color w:val="auto"/>
              </w:rPr>
              <w:t>.6%</w:t>
            </w:r>
          </w:p>
        </w:tc>
        <w:tc>
          <w:tcPr>
            <w:tcW w:w="960" w:type="dxa"/>
            <w:vAlign w:val="bottom"/>
            <w:gridSpan w:val="2"/>
          </w:tcPr>
          <w:p>
            <w:pPr>
              <w:ind w:left="480"/>
              <w:spacing w:after="0" w:line="182" w:lineRule="exact"/>
              <w:rPr>
                <w:sz w:val="20"/>
                <w:szCs w:val="20"/>
                <w:color w:val="auto"/>
              </w:rPr>
            </w:pPr>
            <w:r>
              <w:rPr>
                <w:rFonts w:ascii="Arial" w:cs="Arial" w:eastAsia="Arial" w:hAnsi="Arial"/>
                <w:sz w:val="16"/>
                <w:szCs w:val="16"/>
                <w:color w:val="auto"/>
              </w:rPr>
              <w:t>—</w:t>
            </w: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.6%</w:t>
            </w:r>
          </w:p>
        </w:tc>
        <w:tc>
          <w:tcPr>
            <w:tcW w:w="120" w:type="dxa"/>
            <w:vAlign w:val="bottom"/>
          </w:tcPr>
          <w:p>
            <w:pPr>
              <w:spacing w:after="0"/>
              <w:rPr>
                <w:sz w:val="15"/>
                <w:szCs w:val="15"/>
                <w:color w:val="auto"/>
              </w:rPr>
            </w:pPr>
          </w:p>
        </w:tc>
        <w:tc>
          <w:tcPr>
            <w:tcW w:w="70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2"/>
        </w:trPr>
        <w:tc>
          <w:tcPr>
            <w:tcW w:w="252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Certificates of Deposit</w:t>
            </w: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20" w:type="dxa"/>
            <w:vAlign w:val="bottom"/>
          </w:tcPr>
          <w:p>
            <w:pPr>
              <w:ind w:left="200"/>
              <w:spacing w:after="0" w:line="182" w:lineRule="exact"/>
              <w:rPr>
                <w:sz w:val="20"/>
                <w:szCs w:val="20"/>
                <w:color w:val="auto"/>
              </w:rPr>
            </w:pPr>
            <w:r>
              <w:rPr>
                <w:rFonts w:ascii="Arial" w:cs="Arial" w:eastAsia="Arial" w:hAnsi="Arial"/>
                <w:sz w:val="16"/>
                <w:szCs w:val="16"/>
                <w:color w:val="auto"/>
              </w:rPr>
              <w:t>Amount</w:t>
            </w:r>
          </w:p>
        </w:tc>
        <w:tc>
          <w:tcPr>
            <w:tcW w:w="140" w:type="dxa"/>
            <w:vAlign w:val="bottom"/>
          </w:tcPr>
          <w:p>
            <w:pPr>
              <w:spacing w:after="0"/>
              <w:rPr>
                <w:sz w:val="15"/>
                <w:szCs w:val="15"/>
                <w:color w:val="auto"/>
              </w:rPr>
            </w:pPr>
          </w:p>
        </w:tc>
        <w:tc>
          <w:tcPr>
            <w:tcW w:w="940" w:type="dxa"/>
            <w:vAlign w:val="bottom"/>
            <w:gridSpan w:val="2"/>
          </w:tcPr>
          <w:p>
            <w:pPr>
              <w:jc w:val="right"/>
              <w:ind w:right="400"/>
              <w:spacing w:after="0" w:line="182" w:lineRule="exact"/>
              <w:rPr>
                <w:sz w:val="20"/>
                <w:szCs w:val="20"/>
                <w:color w:val="auto"/>
              </w:rPr>
            </w:pPr>
            <w:r>
              <w:rPr>
                <w:rFonts w:ascii="Arial" w:cs="Arial" w:eastAsia="Arial" w:hAnsi="Arial"/>
                <w:sz w:val="16"/>
                <w:szCs w:val="16"/>
                <w:color w:val="auto"/>
              </w:rPr>
              <w:t>—</w:t>
            </w:r>
          </w:p>
        </w:tc>
        <w:tc>
          <w:tcPr>
            <w:tcW w:w="960" w:type="dxa"/>
            <w:vAlign w:val="bottom"/>
            <w:gridSpan w:val="2"/>
          </w:tcPr>
          <w:p>
            <w:pPr>
              <w:ind w:left="480"/>
              <w:spacing w:after="0" w:line="182" w:lineRule="exact"/>
              <w:rPr>
                <w:sz w:val="20"/>
                <w:szCs w:val="20"/>
                <w:color w:val="auto"/>
              </w:rPr>
            </w:pPr>
            <w:r>
              <w:rPr>
                <w:rFonts w:ascii="Arial" w:cs="Arial" w:eastAsia="Arial" w:hAnsi="Arial"/>
                <w:sz w:val="16"/>
                <w:szCs w:val="16"/>
                <w:color w:val="auto"/>
              </w:rPr>
              <w:t>—</w:t>
            </w:r>
          </w:p>
        </w:tc>
        <w:tc>
          <w:tcPr>
            <w:tcW w:w="980" w:type="dxa"/>
            <w:vAlign w:val="bottom"/>
            <w:gridSpan w:val="2"/>
          </w:tcPr>
          <w:p>
            <w:pPr>
              <w:ind w:left="500"/>
              <w:spacing w:after="0" w:line="182" w:lineRule="exact"/>
              <w:rPr>
                <w:sz w:val="20"/>
                <w:szCs w:val="20"/>
                <w:color w:val="auto"/>
              </w:rPr>
            </w:pPr>
            <w:r>
              <w:rPr>
                <w:rFonts w:ascii="Arial" w:cs="Arial" w:eastAsia="Arial" w:hAnsi="Arial"/>
                <w:sz w:val="16"/>
                <w:szCs w:val="16"/>
                <w:color w:val="auto"/>
              </w:rPr>
              <w:t>—</w:t>
            </w:r>
          </w:p>
        </w:tc>
        <w:tc>
          <w:tcPr>
            <w:tcW w:w="960" w:type="dxa"/>
            <w:vAlign w:val="bottom"/>
            <w:gridSpan w:val="2"/>
          </w:tcPr>
          <w:p>
            <w:pPr>
              <w:ind w:left="500"/>
              <w:spacing w:after="0" w:line="18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940" w:type="dxa"/>
            <w:vAlign w:val="bottom"/>
            <w:gridSpan w:val="2"/>
          </w:tcPr>
          <w:p>
            <w:pPr>
              <w:jc w:val="right"/>
              <w:ind w:right="380"/>
              <w:spacing w:after="0" w:line="182" w:lineRule="exact"/>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82"/>
        </w:trPr>
        <w:tc>
          <w:tcPr>
            <w:tcW w:w="252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Average Interest Rate</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400"/>
              <w:spacing w:after="0" w:line="182" w:lineRule="exact"/>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480"/>
              <w:spacing w:after="0" w:line="182" w:lineRule="exact"/>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500"/>
              <w:spacing w:after="0" w:line="182" w:lineRule="exact"/>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500"/>
              <w:spacing w:after="0" w:line="18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82"/>
        </w:trPr>
        <w:tc>
          <w:tcPr>
            <w:tcW w:w="2520" w:type="dxa"/>
            <w:vAlign w:val="bottom"/>
          </w:tcPr>
          <w:p>
            <w:pPr>
              <w:ind w:left="20"/>
              <w:spacing w:after="0" w:line="182" w:lineRule="exact"/>
              <w:rPr>
                <w:sz w:val="20"/>
                <w:szCs w:val="20"/>
                <w:color w:val="auto"/>
              </w:rPr>
            </w:pPr>
            <w:r>
              <w:rPr>
                <w:rFonts w:ascii="Arial" w:cs="Arial" w:eastAsia="Arial" w:hAnsi="Arial"/>
                <w:sz w:val="16"/>
                <w:szCs w:val="16"/>
                <w:color w:val="auto"/>
              </w:rPr>
              <w:t>Other</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2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Amount</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400"/>
              <w:spacing w:after="0" w:line="182" w:lineRule="exact"/>
              <w:rPr>
                <w:sz w:val="20"/>
                <w:szCs w:val="20"/>
                <w:color w:val="auto"/>
              </w:rPr>
            </w:pPr>
            <w:r>
              <w:rPr>
                <w:rFonts w:ascii="Arial" w:cs="Arial" w:eastAsia="Arial" w:hAnsi="Arial"/>
                <w:sz w:val="16"/>
                <w:szCs w:val="16"/>
                <w:color w:val="auto"/>
              </w:rPr>
              <w:t>0.1</w:t>
            </w:r>
          </w:p>
        </w:tc>
        <w:tc>
          <w:tcPr>
            <w:tcW w:w="960" w:type="dxa"/>
            <w:vAlign w:val="bottom"/>
            <w:gridSpan w:val="2"/>
            <w:shd w:val="clear" w:color="auto" w:fill="CCEEFF"/>
          </w:tcPr>
          <w:p>
            <w:pPr>
              <w:ind w:left="480"/>
              <w:spacing w:after="0" w:line="182" w:lineRule="exact"/>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ind w:left="500"/>
              <w:spacing w:after="0" w:line="182" w:lineRule="exact"/>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500"/>
              <w:spacing w:after="0" w:line="18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94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6"/>
                <w:szCs w:val="16"/>
                <w:color w:val="auto"/>
              </w:rPr>
              <w:t>0.7</w:t>
            </w:r>
          </w:p>
        </w:tc>
        <w:tc>
          <w:tcPr>
            <w:tcW w:w="0" w:type="dxa"/>
            <w:vAlign w:val="bottom"/>
          </w:tcPr>
          <w:p>
            <w:pPr>
              <w:spacing w:after="0"/>
              <w:rPr>
                <w:sz w:val="1"/>
                <w:szCs w:val="1"/>
                <w:color w:val="auto"/>
              </w:rPr>
            </w:pPr>
          </w:p>
        </w:tc>
      </w:tr>
      <w:tr>
        <w:trPr>
          <w:trHeight w:val="195"/>
        </w:trPr>
        <w:tc>
          <w:tcPr>
            <w:tcW w:w="2520" w:type="dxa"/>
            <w:vAlign w:val="bottom"/>
          </w:tcPr>
          <w:p>
            <w:pPr>
              <w:ind w:left="200"/>
              <w:spacing w:after="0"/>
              <w:rPr>
                <w:sz w:val="20"/>
                <w:szCs w:val="20"/>
                <w:color w:val="auto"/>
              </w:rPr>
            </w:pPr>
            <w:r>
              <w:rPr>
                <w:rFonts w:ascii="Arial" w:cs="Arial" w:eastAsia="Arial" w:hAnsi="Arial"/>
                <w:sz w:val="16"/>
                <w:szCs w:val="16"/>
                <w:color w:val="auto"/>
              </w:rPr>
              <w:t>Average Interest Rate</w:t>
            </w:r>
          </w:p>
        </w:tc>
        <w:tc>
          <w:tcPr>
            <w:tcW w:w="140" w:type="dxa"/>
            <w:vAlign w:val="bottom"/>
          </w:tcPr>
          <w:p>
            <w:pPr>
              <w:spacing w:after="0"/>
              <w:rPr>
                <w:sz w:val="16"/>
                <w:szCs w:val="16"/>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6"/>
                <w:szCs w:val="16"/>
                <w:color w:val="auto"/>
              </w:rPr>
              <w:t>.6%</w:t>
            </w:r>
          </w:p>
        </w:tc>
        <w:tc>
          <w:tcPr>
            <w:tcW w:w="960" w:type="dxa"/>
            <w:vAlign w:val="bottom"/>
            <w:gridSpan w:val="2"/>
          </w:tcPr>
          <w:p>
            <w:pPr>
              <w:ind w:left="480"/>
              <w:spacing w:after="0"/>
              <w:rPr>
                <w:sz w:val="20"/>
                <w:szCs w:val="20"/>
                <w:color w:val="auto"/>
              </w:rPr>
            </w:pPr>
            <w:r>
              <w:rPr>
                <w:rFonts w:ascii="Arial" w:cs="Arial" w:eastAsia="Arial" w:hAnsi="Arial"/>
                <w:sz w:val="16"/>
                <w:szCs w:val="16"/>
                <w:color w:val="auto"/>
              </w:rPr>
              <w:t>—</w:t>
            </w:r>
          </w:p>
        </w:tc>
        <w:tc>
          <w:tcPr>
            <w:tcW w:w="9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96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6"/>
          <w:szCs w:val="16"/>
          <w:color w:val="auto"/>
        </w:rPr>
        <w:t>*</w:t>
        <w:tab/>
        <w:t>After-tax</w:t>
      </w:r>
    </w:p>
    <w:p>
      <w:pPr>
        <w:spacing w:after="0" w:line="156" w:lineRule="exact"/>
        <w:rPr>
          <w:sz w:val="20"/>
          <w:szCs w:val="20"/>
          <w:color w:val="auto"/>
        </w:rPr>
      </w:pPr>
    </w:p>
    <w:p>
      <w:pPr>
        <w:ind w:left="280" w:right="1779"/>
        <w:spacing w:after="0" w:line="251" w:lineRule="auto"/>
        <w:rPr>
          <w:sz w:val="20"/>
          <w:szCs w:val="20"/>
          <w:color w:val="auto"/>
        </w:rPr>
      </w:pPr>
      <w:r>
        <w:rPr>
          <w:rFonts w:ascii="Arial" w:cs="Arial" w:eastAsia="Arial" w:hAnsi="Arial"/>
          <w:sz w:val="16"/>
          <w:szCs w:val="16"/>
          <w:color w:val="auto"/>
        </w:rPr>
        <w:t>Most of the Company’s equity investments are managed by a number of outside equity fund managers who invest primarily in large capitalization companies on the U.S. stock markets.</w:t>
      </w:r>
    </w:p>
    <w:p>
      <w:pPr>
        <w:spacing w:after="0" w:line="118"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Contractual Obligations and Other Commitments</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Company had the following contractual obligations and other commitments (000,000) as of December 31, 2009:</w:t>
      </w:r>
    </w:p>
    <w:p>
      <w:pPr>
        <w:spacing w:after="0" w:line="180"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36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Total</w:t>
            </w:r>
          </w:p>
        </w:tc>
        <w:tc>
          <w:tcPr>
            <w:tcW w:w="300" w:type="dxa"/>
            <w:vAlign w:val="bottom"/>
          </w:tcPr>
          <w:p>
            <w:pPr>
              <w:spacing w:after="0"/>
              <w:rPr>
                <w:sz w:val="16"/>
                <w:szCs w:val="16"/>
                <w:color w:val="auto"/>
              </w:rPr>
            </w:pP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w w:val="99"/>
              </w:rPr>
              <w:t>Less than 1 Year</w:t>
            </w:r>
          </w:p>
        </w:tc>
        <w:tc>
          <w:tcPr>
            <w:tcW w:w="300" w:type="dxa"/>
            <w:vAlign w:val="bottom"/>
          </w:tcPr>
          <w:p>
            <w:pPr>
              <w:spacing w:after="0"/>
              <w:rPr>
                <w:sz w:val="16"/>
                <w:szCs w:val="16"/>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1-3 Years</w:t>
            </w:r>
          </w:p>
        </w:tc>
        <w:tc>
          <w:tcPr>
            <w:tcW w:w="300" w:type="dxa"/>
            <w:vAlign w:val="bottom"/>
          </w:tcPr>
          <w:p>
            <w:pPr>
              <w:spacing w:after="0"/>
              <w:rPr>
                <w:sz w:val="16"/>
                <w:szCs w:val="16"/>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w w:val="98"/>
              </w:rPr>
              <w:t>After 3 Years</w:t>
            </w:r>
          </w:p>
        </w:tc>
        <w:tc>
          <w:tcPr>
            <w:tcW w:w="60" w:type="dxa"/>
            <w:vAlign w:val="bottom"/>
          </w:tcPr>
          <w:p>
            <w:pPr>
              <w:spacing w:after="0"/>
              <w:rPr>
                <w:sz w:val="16"/>
                <w:szCs w:val="16"/>
                <w:color w:val="auto"/>
              </w:rPr>
            </w:pPr>
          </w:p>
        </w:tc>
      </w:tr>
      <w:tr>
        <w:trPr>
          <w:trHeight w:val="174"/>
        </w:trPr>
        <w:tc>
          <w:tcPr>
            <w:tcW w:w="36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Long-term debt</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line="175" w:lineRule="exact"/>
              <w:rPr>
                <w:sz w:val="20"/>
                <w:szCs w:val="20"/>
                <w:color w:val="auto"/>
              </w:rPr>
            </w:pPr>
            <w:r>
              <w:rPr>
                <w:rFonts w:ascii="Arial" w:cs="Arial" w:eastAsia="Arial" w:hAnsi="Arial"/>
                <w:sz w:val="16"/>
                <w:szCs w:val="16"/>
                <w:color w:val="auto"/>
              </w:rPr>
              <w:t>—</w:t>
            </w:r>
          </w:p>
        </w:tc>
        <w:tc>
          <w:tcPr>
            <w:tcW w:w="5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00"/>
              <w:spacing w:after="0" w:line="175" w:lineRule="exact"/>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00"/>
              <w:spacing w:after="0" w:line="175" w:lineRule="exact"/>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ind w:right="262"/>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w:t>
            </w:r>
          </w:p>
        </w:tc>
      </w:tr>
      <w:tr>
        <w:trPr>
          <w:trHeight w:val="376"/>
        </w:trPr>
        <w:tc>
          <w:tcPr>
            <w:tcW w:w="3620" w:type="dxa"/>
            <w:vAlign w:val="bottom"/>
          </w:tcPr>
          <w:p>
            <w:pPr>
              <w:ind w:left="20"/>
              <w:spacing w:after="0"/>
              <w:rPr>
                <w:sz w:val="20"/>
                <w:szCs w:val="20"/>
                <w:color w:val="auto"/>
              </w:rPr>
            </w:pPr>
            <w:r>
              <w:rPr>
                <w:rFonts w:ascii="Arial" w:cs="Arial" w:eastAsia="Arial" w:hAnsi="Arial"/>
                <w:sz w:val="16"/>
                <w:szCs w:val="16"/>
                <w:color w:val="auto"/>
              </w:rPr>
              <w:t>Operating leases</w:t>
            </w:r>
          </w:p>
        </w:tc>
        <w:tc>
          <w:tcPr>
            <w:tcW w:w="16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.6</w:t>
            </w:r>
          </w:p>
        </w:tc>
        <w:tc>
          <w:tcPr>
            <w:tcW w:w="5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.5</w:t>
            </w:r>
          </w:p>
        </w:tc>
        <w:tc>
          <w:tcPr>
            <w:tcW w:w="34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71"/>
        </w:trPr>
        <w:tc>
          <w:tcPr>
            <w:tcW w:w="3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2"/>
        </w:trPr>
        <w:tc>
          <w:tcPr>
            <w:tcW w:w="362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Purchase obligations*</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66.8</w:t>
            </w:r>
          </w:p>
        </w:tc>
        <w:tc>
          <w:tcPr>
            <w:tcW w:w="50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66.8</w:t>
            </w:r>
          </w:p>
        </w:tc>
        <w:tc>
          <w:tcPr>
            <w:tcW w:w="3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spacing w:after="0"/>
              <w:rPr>
                <w:sz w:val="15"/>
                <w:szCs w:val="15"/>
                <w:color w:val="auto"/>
              </w:rPr>
            </w:pPr>
          </w:p>
        </w:tc>
        <w:tc>
          <w:tcPr>
            <w:tcW w:w="5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w:t>
            </w:r>
          </w:p>
        </w:tc>
      </w:tr>
      <w:tr>
        <w:trPr>
          <w:trHeight w:val="365"/>
        </w:trPr>
        <w:tc>
          <w:tcPr>
            <w:tcW w:w="3620" w:type="dxa"/>
            <w:vAlign w:val="bottom"/>
          </w:tcPr>
          <w:p>
            <w:pPr>
              <w:ind w:left="20"/>
              <w:spacing w:after="0"/>
              <w:rPr>
                <w:sz w:val="20"/>
                <w:szCs w:val="20"/>
                <w:color w:val="auto"/>
              </w:rPr>
            </w:pPr>
            <w:r>
              <w:rPr>
                <w:rFonts w:ascii="Arial" w:cs="Arial" w:eastAsia="Arial" w:hAnsi="Arial"/>
                <w:sz w:val="16"/>
                <w:szCs w:val="16"/>
                <w:color w:val="auto"/>
              </w:rPr>
              <w:t>Dividends payable</w:t>
            </w:r>
          </w:p>
        </w:tc>
        <w:tc>
          <w:tcPr>
            <w:tcW w:w="16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6"/>
                <w:szCs w:val="16"/>
                <w:color w:val="auto"/>
              </w:rPr>
              <w:t>15.2</w:t>
            </w:r>
          </w:p>
        </w:tc>
        <w:tc>
          <w:tcPr>
            <w:tcW w:w="500" w:type="dxa"/>
            <w:vAlign w:val="bottom"/>
          </w:tcPr>
          <w:p>
            <w:pPr>
              <w:spacing w:after="0"/>
              <w:rPr>
                <w:sz w:val="24"/>
                <w:szCs w:val="2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6"/>
                <w:szCs w:val="16"/>
                <w:color w:val="auto"/>
              </w:rPr>
              <w:t>15.2</w:t>
            </w:r>
          </w:p>
        </w:tc>
        <w:tc>
          <w:tcPr>
            <w:tcW w:w="340" w:type="dxa"/>
            <w:vAlign w:val="bottom"/>
          </w:tcPr>
          <w:p>
            <w:pPr>
              <w:spacing w:after="0"/>
              <w:rPr>
                <w:sz w:val="24"/>
                <w:szCs w:val="2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24"/>
                <w:szCs w:val="24"/>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87"/>
        </w:trPr>
        <w:tc>
          <w:tcPr>
            <w:tcW w:w="36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362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82.6</w:t>
            </w:r>
          </w:p>
        </w:tc>
        <w:tc>
          <w:tcPr>
            <w:tcW w:w="5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82.5</w:t>
            </w:r>
          </w:p>
        </w:tc>
        <w:tc>
          <w:tcPr>
            <w:tcW w:w="340" w:type="dxa"/>
            <w:vAlign w:val="bottom"/>
            <w:shd w:val="clear" w:color="auto" w:fill="CCEEFF"/>
          </w:tcPr>
          <w:p>
            <w:pPr>
              <w:jc w:val="right"/>
              <w:ind w:right="182"/>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0.1</w:t>
            </w:r>
          </w:p>
        </w:tc>
        <w:tc>
          <w:tcPr>
            <w:tcW w:w="420" w:type="dxa"/>
            <w:vAlign w:val="bottom"/>
            <w:shd w:val="clear" w:color="auto" w:fill="CCEEFF"/>
          </w:tcPr>
          <w:p>
            <w:pPr>
              <w:jc w:val="right"/>
              <w:ind w:right="262"/>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w:t>
            </w:r>
          </w:p>
        </w:tc>
      </w:tr>
      <w:tr>
        <w:trPr>
          <w:trHeight w:val="20"/>
        </w:trPr>
        <w:tc>
          <w:tcPr>
            <w:tcW w:w="3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600" w:hanging="311"/>
        <w:spacing w:after="0"/>
        <w:tabs>
          <w:tab w:leader="none" w:pos="6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Primarily for inventory parts and capital equipment.</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Critical Accounting Policies.</w:t>
      </w:r>
    </w:p>
    <w:p>
      <w:pPr>
        <w:spacing w:after="0" w:line="176" w:lineRule="exact"/>
        <w:rPr>
          <w:sz w:val="20"/>
          <w:szCs w:val="20"/>
          <w:color w:val="auto"/>
        </w:rPr>
      </w:pPr>
    </w:p>
    <w:p>
      <w:pPr>
        <w:ind w:left="280" w:right="1659"/>
        <w:spacing w:after="0" w:line="242" w:lineRule="auto"/>
        <w:rPr>
          <w:sz w:val="20"/>
          <w:szCs w:val="20"/>
          <w:color w:val="auto"/>
        </w:rPr>
      </w:pPr>
      <w:r>
        <w:rPr>
          <w:rFonts w:ascii="Arial" w:cs="Arial" w:eastAsia="Arial" w:hAnsi="Arial"/>
          <w:sz w:val="16"/>
          <w:szCs w:val="16"/>
          <w:color w:val="auto"/>
        </w:rPr>
        <w:t>The Company’s significant accounting policies are described in Note 1 to the consolidated financial statements. The policies described below represent those that are broadly applicable to its operations and involve additional management judgment due to the sensitivity of the methods, assumptions and estimates necessary in determining the related amounts.</w:t>
      </w:r>
    </w:p>
    <w:p>
      <w:pPr>
        <w:spacing w:after="0" w:line="200" w:lineRule="exact"/>
        <w:rPr>
          <w:sz w:val="20"/>
          <w:szCs w:val="20"/>
          <w:color w:val="auto"/>
        </w:rPr>
      </w:pPr>
    </w:p>
    <w:p>
      <w:pPr>
        <w:spacing w:after="0" w:line="29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7" w:lineRule="exact"/>
        <w:rPr>
          <w:sz w:val="20"/>
          <w:szCs w:val="20"/>
          <w:color w:val="auto"/>
        </w:rPr>
      </w:pPr>
    </w:p>
    <w:p>
      <w:pPr>
        <w:ind w:left="280" w:right="1639"/>
        <w:spacing w:after="0" w:line="246" w:lineRule="auto"/>
        <w:rPr>
          <w:sz w:val="20"/>
          <w:szCs w:val="20"/>
          <w:color w:val="auto"/>
        </w:rPr>
      </w:pPr>
      <w:r>
        <w:rPr>
          <w:rFonts w:ascii="Arial" w:cs="Arial" w:eastAsia="Arial" w:hAnsi="Arial"/>
          <w:sz w:val="16"/>
          <w:szCs w:val="16"/>
          <w:i w:val="1"/>
          <w:iCs w:val="1"/>
          <w:u w:val="single" w:color="auto"/>
          <w:color w:val="auto"/>
        </w:rPr>
        <w:t>Revenue Recognition.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recognizes revenue in accordance with ASC 820,</w:t>
      </w:r>
      <w:r>
        <w:rPr>
          <w:rFonts w:ascii="Arial" w:cs="Arial" w:eastAsia="Arial" w:hAnsi="Arial"/>
          <w:sz w:val="16"/>
          <w:szCs w:val="16"/>
          <w:i w:val="1"/>
          <w:iCs w:val="1"/>
          <w:color w:val="auto"/>
        </w:rPr>
        <w:t xml:space="preserve"> Revenue Recognition in Financial Statements</w:t>
      </w:r>
      <w:r>
        <w:rPr>
          <w:rFonts w:ascii="Arial" w:cs="Arial" w:eastAsia="Arial" w:hAnsi="Arial"/>
          <w:sz w:val="16"/>
          <w:szCs w:val="16"/>
          <w:color w:val="auto"/>
        </w:rPr>
        <w:t>. Accordingly, revenue is recognized based on the terms of the customer purchase order that</w:t>
      </w:r>
      <w:r>
        <w:rPr>
          <w:rFonts w:ascii="Arial" w:cs="Arial" w:eastAsia="Arial" w:hAnsi="Arial"/>
          <w:sz w:val="16"/>
          <w:szCs w:val="16"/>
          <w:i w:val="1"/>
          <w:iCs w:val="1"/>
          <w:color w:val="auto"/>
        </w:rPr>
        <w:t xml:space="preserve"> </w:t>
      </w:r>
      <w:r>
        <w:rPr>
          <w:rFonts w:ascii="Arial" w:cs="Arial" w:eastAsia="Arial" w:hAnsi="Arial"/>
          <w:sz w:val="16"/>
          <w:szCs w:val="16"/>
          <w:color w:val="auto"/>
        </w:rPr>
        <w:t>indicates title to the product and risk of ownership passes to the customer upon shipment. Sales are shown net of returns, which have not historically been significant. The Company does not generate sales from sale arrangements with multiple deliverables.</w:t>
      </w:r>
    </w:p>
    <w:p>
      <w:pPr>
        <w:spacing w:after="0" w:line="138" w:lineRule="exact"/>
        <w:rPr>
          <w:sz w:val="20"/>
          <w:szCs w:val="20"/>
          <w:color w:val="auto"/>
        </w:rPr>
      </w:pPr>
    </w:p>
    <w:p>
      <w:pPr>
        <w:ind w:left="280" w:right="1599"/>
        <w:spacing w:after="0" w:line="243" w:lineRule="auto"/>
        <w:rPr>
          <w:sz w:val="20"/>
          <w:szCs w:val="20"/>
          <w:color w:val="auto"/>
        </w:rPr>
      </w:pPr>
      <w:r>
        <w:rPr>
          <w:rFonts w:ascii="Arial" w:cs="Arial" w:eastAsia="Arial" w:hAnsi="Arial"/>
          <w:sz w:val="16"/>
          <w:szCs w:val="16"/>
          <w:i w:val="1"/>
          <w:iCs w:val="1"/>
          <w:u w:val="single" w:color="auto"/>
          <w:color w:val="auto"/>
        </w:rPr>
        <w:t>Accounts Receivable.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reviews a monthly aging report of all accounts receivable balances starting with</w:t>
      </w:r>
      <w:r>
        <w:rPr>
          <w:rFonts w:ascii="Arial" w:cs="Arial" w:eastAsia="Arial" w:hAnsi="Arial"/>
          <w:sz w:val="16"/>
          <w:szCs w:val="16"/>
          <w:i w:val="1"/>
          <w:iCs w:val="1"/>
          <w:color w:val="auto"/>
        </w:rPr>
        <w:t xml:space="preserve"> </w:t>
      </w:r>
      <w:r>
        <w:rPr>
          <w:rFonts w:ascii="Arial" w:cs="Arial" w:eastAsia="Arial" w:hAnsi="Arial"/>
          <w:sz w:val="16"/>
          <w:szCs w:val="16"/>
          <w:color w:val="auto"/>
        </w:rPr>
        <w:t>invoices outstanding over sixty days. In addition, the Company monitors information about its customers through a variety of sources including the media, and information obtained through on-going interaction between Company personnel and the customer. Based on the evaluation of the above information, the Company estimates its allowances related to customer receivables on historical credit and collections experience, customers current financial condition and the specific identification of other potential problems, including the economic climate. Actual collections can differ, requiring adjustments to the allowances.</w:t>
      </w:r>
    </w:p>
    <w:p>
      <w:pPr>
        <w:spacing w:after="0" w:line="130" w:lineRule="exact"/>
        <w:rPr>
          <w:sz w:val="20"/>
          <w:szCs w:val="20"/>
          <w:color w:val="auto"/>
        </w:rPr>
      </w:pPr>
    </w:p>
    <w:p>
      <w:pPr>
        <w:ind w:left="280" w:right="1739"/>
        <w:spacing w:after="0" w:line="249" w:lineRule="auto"/>
        <w:rPr>
          <w:sz w:val="20"/>
          <w:szCs w:val="20"/>
          <w:color w:val="auto"/>
        </w:rPr>
      </w:pPr>
      <w:r>
        <w:rPr>
          <w:rFonts w:ascii="Arial" w:cs="Arial" w:eastAsia="Arial" w:hAnsi="Arial"/>
          <w:sz w:val="16"/>
          <w:szCs w:val="16"/>
          <w:i w:val="1"/>
          <w:iCs w:val="1"/>
          <w:u w:val="single" w:color="auto"/>
          <w:color w:val="auto"/>
        </w:rPr>
        <w:t>Inventories.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inventory allowances for slow-moving and obsolete inventories are based on current</w:t>
      </w:r>
      <w:r>
        <w:rPr>
          <w:rFonts w:ascii="Arial" w:cs="Arial" w:eastAsia="Arial" w:hAnsi="Arial"/>
          <w:sz w:val="16"/>
          <w:szCs w:val="16"/>
          <w:i w:val="1"/>
          <w:iCs w:val="1"/>
          <w:color w:val="auto"/>
        </w:rPr>
        <w:t xml:space="preserve"> </w:t>
      </w:r>
      <w:r>
        <w:rPr>
          <w:rFonts w:ascii="Arial" w:cs="Arial" w:eastAsia="Arial" w:hAnsi="Arial"/>
          <w:sz w:val="16"/>
          <w:szCs w:val="16"/>
          <w:color w:val="auto"/>
        </w:rPr>
        <w:t>assessments of future demands, market conditions and related management initiatives. If market conditions or customer requirements change and are less favorable than those projected by management, inventory allowances are adjusted accordingly.</w:t>
      </w:r>
    </w:p>
    <w:p>
      <w:pPr>
        <w:spacing w:after="0" w:line="123" w:lineRule="exact"/>
        <w:rPr>
          <w:sz w:val="20"/>
          <w:szCs w:val="20"/>
          <w:color w:val="auto"/>
        </w:rPr>
      </w:pPr>
    </w:p>
    <w:p>
      <w:pPr>
        <w:ind w:left="280" w:right="1559"/>
        <w:spacing w:after="0" w:line="242" w:lineRule="auto"/>
        <w:rPr>
          <w:sz w:val="20"/>
          <w:szCs w:val="20"/>
          <w:color w:val="auto"/>
        </w:rPr>
      </w:pPr>
      <w:r>
        <w:rPr>
          <w:rFonts w:ascii="Arial" w:cs="Arial" w:eastAsia="Arial" w:hAnsi="Arial"/>
          <w:sz w:val="16"/>
          <w:szCs w:val="16"/>
          <w:i w:val="1"/>
          <w:iCs w:val="1"/>
          <w:u w:val="single" w:color="auto"/>
          <w:color w:val="auto"/>
        </w:rPr>
        <w:t>Investments.</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investment committee regularly reviews its fixed income and equity investment portfolio</w:t>
      </w:r>
      <w:r>
        <w:rPr>
          <w:rFonts w:ascii="Arial" w:cs="Arial" w:eastAsia="Arial" w:hAnsi="Arial"/>
          <w:sz w:val="16"/>
          <w:szCs w:val="16"/>
          <w:i w:val="1"/>
          <w:iCs w:val="1"/>
          <w:color w:val="auto"/>
        </w:rPr>
        <w:t xml:space="preserve"> </w:t>
      </w:r>
      <w:r>
        <w:rPr>
          <w:rFonts w:ascii="Arial" w:cs="Arial" w:eastAsia="Arial" w:hAnsi="Arial"/>
          <w:sz w:val="16"/>
          <w:szCs w:val="16"/>
          <w:color w:val="auto"/>
        </w:rPr>
        <w:t>for any unrealized losses that would be deemed other-than-temporary and require the recognition of an impairment loss in income. If the cost of an investment exceeds its fair value, the Company evaluates, among other factors, general market conditions, the duration and extent to which the fair value is less than cost, and our intent and ability to hold the investment. Management also considers the type of security, related industry, sector performance, as well as published investment ratings and analyst reports to evaluate its portfolio. Once a decline in fair value is determined to be other-than-temporary, an impairment charge is recorded and a new cost basis in the investment is established. If market, industry, and/or investee conditions continue to deteriorate, the Company may incur future impairments.</w:t>
      </w:r>
    </w:p>
    <w:p>
      <w:pPr>
        <w:spacing w:after="0" w:line="326" w:lineRule="exact"/>
        <w:rPr>
          <w:sz w:val="20"/>
          <w:szCs w:val="20"/>
          <w:color w:val="auto"/>
        </w:rPr>
      </w:pPr>
    </w:p>
    <w:p>
      <w:pPr>
        <w:ind w:left="280" w:right="1719"/>
        <w:spacing w:after="0" w:line="246" w:lineRule="auto"/>
        <w:rPr>
          <w:sz w:val="20"/>
          <w:szCs w:val="20"/>
          <w:color w:val="auto"/>
        </w:rPr>
      </w:pPr>
      <w:r>
        <w:rPr>
          <w:rFonts w:ascii="Arial" w:cs="Arial" w:eastAsia="Arial" w:hAnsi="Arial"/>
          <w:sz w:val="16"/>
          <w:szCs w:val="16"/>
          <w:i w:val="1"/>
          <w:iCs w:val="1"/>
          <w:u w:val="single" w:color="auto"/>
          <w:color w:val="auto"/>
        </w:rPr>
        <w:t>Self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 is self-insured for health and workers’ compensation benefits up to certain stop-loss</w:t>
      </w:r>
      <w:r>
        <w:rPr>
          <w:rFonts w:ascii="Arial" w:cs="Arial" w:eastAsia="Arial" w:hAnsi="Arial"/>
          <w:sz w:val="16"/>
          <w:szCs w:val="16"/>
          <w:i w:val="1"/>
          <w:iCs w:val="1"/>
          <w:color w:val="auto"/>
        </w:rPr>
        <w:t xml:space="preserve"> </w:t>
      </w:r>
      <w:r>
        <w:rPr>
          <w:rFonts w:ascii="Arial" w:cs="Arial" w:eastAsia="Arial" w:hAnsi="Arial"/>
          <w:sz w:val="16"/>
          <w:szCs w:val="16"/>
          <w:color w:val="auto"/>
        </w:rPr>
        <w:t>limits. Such costs are accrued based on known claims and an estimate of incurred, but not reported (IBNR) claims. IBNR claims are estimated using historical lag information and other data provided by claims administrators. This estimation process is subjective, and to the extent that future results differ from original estimates, adjustments to recorded accruals may be necessary.</w:t>
      </w:r>
    </w:p>
    <w:p>
      <w:pPr>
        <w:spacing w:after="0" w:line="126" w:lineRule="exact"/>
        <w:rPr>
          <w:sz w:val="20"/>
          <w:szCs w:val="20"/>
          <w:color w:val="auto"/>
        </w:rPr>
      </w:pPr>
    </w:p>
    <w:p>
      <w:pPr>
        <w:ind w:left="280" w:right="1759"/>
        <w:spacing w:after="0" w:line="242" w:lineRule="auto"/>
        <w:rPr>
          <w:sz w:val="20"/>
          <w:szCs w:val="20"/>
          <w:color w:val="auto"/>
        </w:rPr>
      </w:pPr>
      <w:r>
        <w:rPr>
          <w:rFonts w:ascii="Arial" w:cs="Arial" w:eastAsia="Arial" w:hAnsi="Arial"/>
          <w:sz w:val="16"/>
          <w:szCs w:val="16"/>
          <w:i w:val="1"/>
          <w:iCs w:val="1"/>
          <w:u w:val="single" w:color="auto"/>
          <w:color w:val="auto"/>
        </w:rPr>
        <w:t>Stock-Based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January 1, 2006, the Company accounts for stock-based compensation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the fair value recognition provisions of ASC 718. The Company utilizes the Black-Scholes model, which requires the input of subjective assumptions. These assumptions include estimating (a) the length of time employees will retain their vested stock options before exercising them (“expected term”), (b) the volatility of the Company’s common stock price over the expected term, (c) the number of options that will ultimately not complete their vesting requirements (“forfeitures”) and (d) expected dividends. Changes in the subjective assumptions can materially affect the estimate of fair value of stock-based compensation and consequently, the related amounts recognized on the consolidated condensed statements of operations.</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Item 7A. Quantitative and Qualitative Disclosures About Market Risk.</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“Market Risk Disclosure”</w:t>
      </w:r>
      <w:r>
        <w:rPr>
          <w:rFonts w:ascii="Arial" w:cs="Arial" w:eastAsia="Arial" w:hAnsi="Arial"/>
          <w:sz w:val="16"/>
          <w:szCs w:val="16"/>
          <w:color w:val="auto"/>
        </w:rPr>
        <w:t xml:space="preserve"> in Management’s Discussion and Analysis (Item 7).</w:t>
      </w:r>
    </w:p>
    <w:p>
      <w:pPr>
        <w:spacing w:after="0" w:line="152"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Item 8. Financial Statements and Supplementary Data.</w:t>
      </w:r>
    </w:p>
    <w:p>
      <w:pPr>
        <w:spacing w:after="0" w:line="176" w:lineRule="exact"/>
        <w:rPr>
          <w:sz w:val="20"/>
          <w:szCs w:val="20"/>
          <w:color w:val="auto"/>
        </w:rPr>
      </w:pPr>
    </w:p>
    <w:p>
      <w:pPr>
        <w:ind w:left="280" w:right="1899"/>
        <w:spacing w:after="0" w:line="251" w:lineRule="auto"/>
        <w:rPr>
          <w:sz w:val="20"/>
          <w:szCs w:val="20"/>
          <w:color w:val="auto"/>
        </w:rPr>
      </w:pPr>
      <w:r>
        <w:rPr>
          <w:rFonts w:ascii="Arial" w:cs="Arial" w:eastAsia="Arial" w:hAnsi="Arial"/>
          <w:sz w:val="16"/>
          <w:szCs w:val="16"/>
          <w:color w:val="auto"/>
        </w:rPr>
        <w:t>The following financial statements and reports of independent registered public accounting firm are filed with this report as pages 29 through 50 following the signature page:</w:t>
      </w:r>
    </w:p>
    <w:p>
      <w:pPr>
        <w:spacing w:after="0" w:line="16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-114300</wp:posOffset>
            </wp:positionV>
            <wp:extent cx="5331460" cy="11557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331460" cy="115570"/>
                    </a:xfrm>
                    <a:prstGeom prst="rect">
                      <a:avLst/>
                    </a:prstGeom>
                    <a:noFill/>
                  </pic:spPr>
                </pic:pic>
              </a:graphicData>
            </a:graphic>
          </wp:anchor>
        </w:drawing>
      </w:r>
    </w:p>
    <w:p>
      <w:pPr>
        <w:ind w:left="300" w:right="2579"/>
        <w:spacing w:after="0" w:line="237" w:lineRule="auto"/>
        <w:rPr>
          <w:sz w:val="20"/>
          <w:szCs w:val="20"/>
          <w:color w:val="auto"/>
        </w:rPr>
      </w:pPr>
      <w:r>
        <w:rPr>
          <w:rFonts w:ascii="Arial" w:cs="Arial" w:eastAsia="Arial" w:hAnsi="Arial"/>
          <w:sz w:val="16"/>
          <w:szCs w:val="16"/>
          <w:color w:val="auto"/>
        </w:rPr>
        <w:t>Report of Independent Registered Public Accounting Firm on Internal Control Over Financial Reporting Consolidated Balance Sheets as of December 31, 2009 and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-113665</wp:posOffset>
            </wp:positionV>
            <wp:extent cx="5331460" cy="1155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31460" cy="115570"/>
                    </a:xfrm>
                    <a:prstGeom prst="rect">
                      <a:avLst/>
                    </a:prstGeom>
                    <a:noFill/>
                  </pic:spPr>
                </pic:pic>
              </a:graphicData>
            </a:graphic>
          </wp:anchor>
        </w:drawing>
      </w:r>
    </w:p>
    <w:p>
      <w:pPr>
        <w:ind w:left="300" w:right="2379"/>
        <w:spacing w:after="0" w:line="237" w:lineRule="auto"/>
        <w:rPr>
          <w:sz w:val="20"/>
          <w:szCs w:val="20"/>
          <w:color w:val="auto"/>
        </w:rPr>
      </w:pPr>
      <w:r>
        <w:rPr>
          <w:rFonts w:ascii="Arial" w:cs="Arial" w:eastAsia="Arial" w:hAnsi="Arial"/>
          <w:sz w:val="16"/>
          <w:szCs w:val="16"/>
          <w:color w:val="auto"/>
        </w:rPr>
        <w:t>Consolidated Statements of Income for the years ended December 31, 2009, 2008 and 2007 Consolidated Statements of Shareholders’ Investment for the years ended December 31, 2009, 2008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-113665</wp:posOffset>
            </wp:positionV>
            <wp:extent cx="5331460" cy="2317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31460" cy="23177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6"/>
          <w:szCs w:val="16"/>
          <w:color w:val="auto"/>
        </w:rPr>
        <w:t>2007</w:t>
      </w:r>
    </w:p>
    <w:p>
      <w:pPr>
        <w:ind w:left="300" w:right="2979"/>
        <w:spacing w:after="0" w:line="251" w:lineRule="auto"/>
        <w:rPr>
          <w:sz w:val="20"/>
          <w:szCs w:val="20"/>
          <w:color w:val="auto"/>
        </w:rPr>
      </w:pPr>
      <w:r>
        <w:rPr>
          <w:rFonts w:ascii="Arial" w:cs="Arial" w:eastAsia="Arial" w:hAnsi="Arial"/>
          <w:sz w:val="16"/>
          <w:szCs w:val="16"/>
          <w:color w:val="auto"/>
        </w:rPr>
        <w:t>Consolidated Statements of Cash Flows for the years ended December 31, 2009, 2008 and 2007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-127635</wp:posOffset>
            </wp:positionV>
            <wp:extent cx="5331460" cy="1155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31460" cy="1155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84"/>
        </w:trPr>
        <w:tc>
          <w:tcPr>
            <w:tcW w:w="1720" w:type="dxa"/>
            <w:vAlign w:val="bottom"/>
            <w:gridSpan w:val="3"/>
          </w:tcPr>
          <w:p>
            <w:pPr>
              <w:spacing w:after="0"/>
              <w:rPr>
                <w:rFonts w:ascii="Arial" w:cs="Arial" w:eastAsia="Arial" w:hAnsi="Arial"/>
                <w:sz w:val="16"/>
                <w:szCs w:val="16"/>
                <w:b w:val="1"/>
                <w:bCs w:val="1"/>
                <w:color w:val="0000EE"/>
              </w:rPr>
            </w:pPr>
            <w:hyperlink w:anchor="page4">
              <w:r>
                <w:rPr>
                  <w:rFonts w:ascii="Arial" w:cs="Arial" w:eastAsia="Arial" w:hAnsi="Arial"/>
                  <w:sz w:val="16"/>
                  <w:szCs w:val="16"/>
                  <w:b w:val="1"/>
                  <w:bCs w:val="1"/>
                  <w:color w:val="0000EE"/>
                </w:rPr>
                <w:t>Table of Contents</w:t>
              </w:r>
            </w:hyperlink>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
        </w:trPr>
        <w:tc>
          <w:tcPr>
            <w:tcW w:w="1200" w:type="dxa"/>
            <w:vAlign w:val="bottom"/>
            <w:gridSpan w:val="2"/>
            <w:shd w:val="clear" w:color="auto" w:fill="0000EE"/>
          </w:tcPr>
          <w:p>
            <w:pPr>
              <w:spacing w:after="0" w:line="20" w:lineRule="exact"/>
              <w:rPr>
                <w:sz w:val="1"/>
                <w:szCs w:val="1"/>
                <w:color w:val="auto"/>
              </w:rPr>
            </w:pPr>
          </w:p>
        </w:tc>
        <w:tc>
          <w:tcPr>
            <w:tcW w:w="5820" w:type="dxa"/>
            <w:vAlign w:val="bottom"/>
            <w:gridSpan w:val="2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78"/>
        </w:trPr>
        <w:tc>
          <w:tcPr>
            <w:tcW w:w="7020" w:type="dxa"/>
            <w:vAlign w:val="bottom"/>
            <w:gridSpan w:val="22"/>
          </w:tcPr>
          <w:p>
            <w:pPr>
              <w:ind w:left="280"/>
              <w:spacing w:after="0"/>
              <w:rPr>
                <w:sz w:val="20"/>
                <w:szCs w:val="20"/>
                <w:color w:val="auto"/>
              </w:rPr>
            </w:pPr>
            <w:r>
              <w:rPr>
                <w:rFonts w:ascii="Arial" w:cs="Arial" w:eastAsia="Arial" w:hAnsi="Arial"/>
                <w:sz w:val="16"/>
                <w:szCs w:val="16"/>
                <w:color w:val="auto"/>
              </w:rPr>
              <w:t>Selected quarterly financial data for the past two years appears in the following table:</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40"/>
        </w:trPr>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40" w:type="dxa"/>
            <w:vAlign w:val="bottom"/>
            <w:gridSpan w:val="10"/>
          </w:tcPr>
          <w:p>
            <w:pPr>
              <w:jc w:val="center"/>
              <w:ind w:right="420"/>
              <w:spacing w:after="0"/>
              <w:rPr>
                <w:sz w:val="20"/>
                <w:szCs w:val="20"/>
                <w:color w:val="auto"/>
              </w:rPr>
            </w:pPr>
            <w:r>
              <w:rPr>
                <w:rFonts w:ascii="Arial" w:cs="Arial" w:eastAsia="Arial" w:hAnsi="Arial"/>
                <w:sz w:val="16"/>
                <w:szCs w:val="16"/>
                <w:color w:val="auto"/>
              </w:rPr>
              <w:t>Quarterly Results of Operations</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5"/>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00" w:type="dxa"/>
            <w:vAlign w:val="bottom"/>
            <w:gridSpan w:val="12"/>
          </w:tcPr>
          <w:p>
            <w:pPr>
              <w:jc w:val="center"/>
              <w:ind w:left="139"/>
              <w:spacing w:after="0"/>
              <w:rPr>
                <w:sz w:val="20"/>
                <w:szCs w:val="20"/>
                <w:color w:val="auto"/>
              </w:rPr>
            </w:pPr>
            <w:r>
              <w:rPr>
                <w:rFonts w:ascii="Arial" w:cs="Arial" w:eastAsia="Arial" w:hAnsi="Arial"/>
                <w:sz w:val="16"/>
                <w:szCs w:val="16"/>
                <w:color w:val="auto"/>
              </w:rPr>
              <w:t>(in thousands, except per share data)</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353"/>
        </w:trPr>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6"/>
                <w:szCs w:val="16"/>
                <w:color w:val="auto"/>
                <w:w w:val="96"/>
              </w:rPr>
              <w:t>First</w:t>
            </w: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gridSpan w:val="5"/>
          </w:tcPr>
          <w:p>
            <w:pPr>
              <w:ind w:left="420"/>
              <w:spacing w:after="0"/>
              <w:rPr>
                <w:sz w:val="20"/>
                <w:szCs w:val="20"/>
                <w:color w:val="auto"/>
              </w:rPr>
            </w:pPr>
            <w:r>
              <w:rPr>
                <w:rFonts w:ascii="Arial" w:cs="Arial" w:eastAsia="Arial" w:hAnsi="Arial"/>
                <w:sz w:val="16"/>
                <w:szCs w:val="16"/>
                <w:color w:val="auto"/>
              </w:rPr>
              <w:t>Second</w:t>
            </w:r>
          </w:p>
        </w:tc>
        <w:tc>
          <w:tcPr>
            <w:tcW w:w="100" w:type="dxa"/>
            <w:vAlign w:val="bottom"/>
          </w:tcPr>
          <w:p>
            <w:pPr>
              <w:spacing w:after="0"/>
              <w:rPr>
                <w:sz w:val="24"/>
                <w:szCs w:val="24"/>
                <w:color w:val="auto"/>
              </w:rPr>
            </w:pPr>
          </w:p>
        </w:tc>
        <w:tc>
          <w:tcPr>
            <w:tcW w:w="900" w:type="dxa"/>
            <w:vAlign w:val="bottom"/>
            <w:gridSpan w:val="3"/>
          </w:tcPr>
          <w:p>
            <w:pPr>
              <w:jc w:val="right"/>
              <w:spacing w:after="0"/>
              <w:rPr>
                <w:sz w:val="20"/>
                <w:szCs w:val="20"/>
                <w:color w:val="auto"/>
              </w:rPr>
            </w:pPr>
            <w:r>
              <w:rPr>
                <w:rFonts w:ascii="Arial" w:cs="Arial" w:eastAsia="Arial" w:hAnsi="Arial"/>
                <w:sz w:val="16"/>
                <w:szCs w:val="16"/>
                <w:color w:val="auto"/>
              </w:rPr>
              <w:t>Third</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5"/>
          </w:tcPr>
          <w:p>
            <w:pPr>
              <w:jc w:val="right"/>
              <w:ind w:right="620"/>
              <w:spacing w:after="0"/>
              <w:rPr>
                <w:sz w:val="20"/>
                <w:szCs w:val="20"/>
                <w:color w:val="auto"/>
              </w:rPr>
            </w:pPr>
            <w:r>
              <w:rPr>
                <w:rFonts w:ascii="Arial" w:cs="Arial" w:eastAsia="Arial" w:hAnsi="Arial"/>
                <w:sz w:val="16"/>
                <w:szCs w:val="16"/>
                <w:color w:val="auto"/>
              </w:rPr>
              <w:t>Fourth</w:t>
            </w:r>
          </w:p>
        </w:tc>
      </w:tr>
      <w:tr>
        <w:trPr>
          <w:trHeight w:val="174"/>
        </w:trPr>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500" w:type="dxa"/>
            <w:vAlign w:val="bottom"/>
            <w:tcBorders>
              <w:top w:val="single" w:sz="8" w:color="auto"/>
              <w:bottom w:val="single" w:sz="8" w:color="auto"/>
            </w:tcBorders>
          </w:tcPr>
          <w:p>
            <w:pPr>
              <w:jc w:val="right"/>
              <w:ind w:right="39"/>
              <w:spacing w:after="0" w:line="175" w:lineRule="exact"/>
              <w:rPr>
                <w:sz w:val="20"/>
                <w:szCs w:val="20"/>
                <w:color w:val="auto"/>
              </w:rPr>
            </w:pPr>
            <w:r>
              <w:rPr>
                <w:rFonts w:ascii="Arial" w:cs="Arial" w:eastAsia="Arial" w:hAnsi="Arial"/>
                <w:sz w:val="16"/>
                <w:szCs w:val="16"/>
                <w:color w:val="auto"/>
              </w:rPr>
              <w:t>2009</w:t>
            </w: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79"/>
              <w:spacing w:after="0" w:line="175" w:lineRule="exact"/>
              <w:rPr>
                <w:sz w:val="20"/>
                <w:szCs w:val="20"/>
                <w:color w:val="auto"/>
              </w:rPr>
            </w:pPr>
            <w:r>
              <w:rPr>
                <w:rFonts w:ascii="Arial" w:cs="Arial" w:eastAsia="Arial" w:hAnsi="Arial"/>
                <w:sz w:val="16"/>
                <w:szCs w:val="16"/>
                <w:color w:val="auto"/>
              </w:rPr>
              <w:t>2008</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79"/>
              <w:spacing w:after="0" w:line="175" w:lineRule="exact"/>
              <w:rPr>
                <w:sz w:val="20"/>
                <w:szCs w:val="20"/>
                <w:color w:val="auto"/>
              </w:rPr>
            </w:pPr>
            <w:r>
              <w:rPr>
                <w:rFonts w:ascii="Arial" w:cs="Arial" w:eastAsia="Arial" w:hAnsi="Arial"/>
                <w:sz w:val="16"/>
                <w:szCs w:val="16"/>
                <w:color w:val="auto"/>
              </w:rPr>
              <w:t>2009</w:t>
            </w: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79"/>
              <w:spacing w:after="0" w:line="175" w:lineRule="exact"/>
              <w:rPr>
                <w:sz w:val="20"/>
                <w:szCs w:val="20"/>
                <w:color w:val="auto"/>
              </w:rPr>
            </w:pPr>
            <w:r>
              <w:rPr>
                <w:rFonts w:ascii="Arial" w:cs="Arial" w:eastAsia="Arial" w:hAnsi="Arial"/>
                <w:sz w:val="16"/>
                <w:szCs w:val="16"/>
                <w:color w:val="auto"/>
              </w:rPr>
              <w:t>2008</w:t>
            </w: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99"/>
              <w:spacing w:after="0" w:line="175" w:lineRule="exact"/>
              <w:rPr>
                <w:sz w:val="20"/>
                <w:szCs w:val="20"/>
                <w:color w:val="auto"/>
              </w:rPr>
            </w:pPr>
            <w:r>
              <w:rPr>
                <w:rFonts w:ascii="Arial" w:cs="Arial" w:eastAsia="Arial" w:hAnsi="Arial"/>
                <w:sz w:val="16"/>
                <w:szCs w:val="16"/>
                <w:color w:val="auto"/>
              </w:rPr>
              <w:t>2009</w:t>
            </w: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99"/>
              <w:spacing w:after="0" w:line="175" w:lineRule="exact"/>
              <w:rPr>
                <w:sz w:val="20"/>
                <w:szCs w:val="20"/>
                <w:color w:val="auto"/>
              </w:rPr>
            </w:pPr>
            <w:r>
              <w:rPr>
                <w:rFonts w:ascii="Arial" w:cs="Arial" w:eastAsia="Arial" w:hAnsi="Arial"/>
                <w:sz w:val="16"/>
                <w:szCs w:val="16"/>
                <w:color w:val="auto"/>
              </w:rPr>
              <w:t>2008</w:t>
            </w:r>
          </w:p>
        </w:tc>
        <w:tc>
          <w:tcPr>
            <w:tcW w:w="200" w:type="dxa"/>
            <w:vAlign w:val="bottom"/>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99"/>
              <w:spacing w:after="0" w:line="175" w:lineRule="exact"/>
              <w:rPr>
                <w:sz w:val="20"/>
                <w:szCs w:val="20"/>
                <w:color w:val="auto"/>
              </w:rPr>
            </w:pPr>
            <w:r>
              <w:rPr>
                <w:rFonts w:ascii="Arial" w:cs="Arial" w:eastAsia="Arial" w:hAnsi="Arial"/>
                <w:sz w:val="16"/>
                <w:szCs w:val="16"/>
                <w:color w:val="auto"/>
              </w:rPr>
              <w:t>2009</w:t>
            </w:r>
          </w:p>
        </w:tc>
        <w:tc>
          <w:tcPr>
            <w:tcW w:w="20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jc w:val="right"/>
              <w:ind w:right="99"/>
              <w:spacing w:after="0" w:line="175" w:lineRule="exact"/>
              <w:rPr>
                <w:sz w:val="20"/>
                <w:szCs w:val="20"/>
                <w:color w:val="auto"/>
              </w:rPr>
            </w:pPr>
            <w:r>
              <w:rPr>
                <w:rFonts w:ascii="Arial" w:cs="Arial" w:eastAsia="Arial" w:hAnsi="Arial"/>
                <w:sz w:val="16"/>
                <w:szCs w:val="16"/>
                <w:color w:val="auto"/>
              </w:rPr>
              <w:t>2008</w:t>
            </w:r>
          </w:p>
        </w:tc>
        <w:tc>
          <w:tcPr>
            <w:tcW w:w="60" w:type="dxa"/>
            <w:vAlign w:val="bottom"/>
          </w:tcPr>
          <w:p>
            <w:pPr>
              <w:spacing w:after="0"/>
              <w:rPr>
                <w:sz w:val="15"/>
                <w:szCs w:val="15"/>
                <w:color w:val="auto"/>
              </w:rPr>
            </w:pPr>
          </w:p>
        </w:tc>
      </w:tr>
      <w:tr>
        <w:trPr>
          <w:trHeight w:val="174"/>
        </w:trPr>
        <w:tc>
          <w:tcPr>
            <w:tcW w:w="280" w:type="dxa"/>
            <w:vAlign w:val="bottom"/>
          </w:tcPr>
          <w:p>
            <w:pPr>
              <w:spacing w:after="0"/>
              <w:rPr>
                <w:sz w:val="15"/>
                <w:szCs w:val="15"/>
                <w:color w:val="auto"/>
              </w:rPr>
            </w:pPr>
          </w:p>
        </w:tc>
        <w:tc>
          <w:tcPr>
            <w:tcW w:w="144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Net Sales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39"/>
              <w:spacing w:after="0" w:line="175" w:lineRule="exact"/>
              <w:rPr>
                <w:sz w:val="20"/>
                <w:szCs w:val="20"/>
                <w:color w:val="auto"/>
              </w:rPr>
            </w:pPr>
            <w:r>
              <w:rPr>
                <w:rFonts w:ascii="Arial" w:cs="Arial" w:eastAsia="Arial" w:hAnsi="Arial"/>
                <w:sz w:val="16"/>
                <w:szCs w:val="16"/>
                <w:color w:val="auto"/>
                <w:w w:val="98"/>
              </w:rPr>
              <w:t>93,831</w:t>
            </w:r>
          </w:p>
        </w:tc>
        <w:tc>
          <w:tcPr>
            <w:tcW w:w="1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177,970</w:t>
            </w:r>
          </w:p>
        </w:tc>
        <w:tc>
          <w:tcPr>
            <w:tcW w:w="24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117,342</w:t>
            </w:r>
          </w:p>
        </w:tc>
        <w:tc>
          <w:tcPr>
            <w:tcW w:w="1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170,492</w:t>
            </w:r>
          </w:p>
        </w:tc>
        <w:tc>
          <w:tcPr>
            <w:tcW w:w="1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155,742</w:t>
            </w:r>
          </w:p>
        </w:tc>
        <w:tc>
          <w:tcPr>
            <w:tcW w:w="1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153,057</w:t>
            </w:r>
          </w:p>
        </w:tc>
        <w:tc>
          <w:tcPr>
            <w:tcW w:w="1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200"/>
              <w:spacing w:after="0" w:line="175" w:lineRule="exact"/>
              <w:rPr>
                <w:sz w:val="20"/>
                <w:szCs w:val="20"/>
                <w:color w:val="auto"/>
              </w:rPr>
            </w:pPr>
            <w:r>
              <w:rPr>
                <w:rFonts w:ascii="Arial" w:cs="Arial" w:eastAsia="Arial" w:hAnsi="Arial"/>
                <w:sz w:val="16"/>
                <w:szCs w:val="16"/>
                <w:color w:val="auto"/>
              </w:rPr>
              <w:t>177,608</w:t>
            </w:r>
          </w:p>
        </w:tc>
        <w:tc>
          <w:tcPr>
            <w:tcW w:w="1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122,281</w:t>
            </w:r>
          </w:p>
        </w:tc>
      </w:tr>
      <w:tr>
        <w:trPr>
          <w:trHeight w:val="376"/>
        </w:trPr>
        <w:tc>
          <w:tcPr>
            <w:tcW w:w="28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80" w:type="dxa"/>
            <w:vAlign w:val="bottom"/>
          </w:tcPr>
          <w:p>
            <w:pPr>
              <w:spacing w:after="0"/>
              <w:rPr>
                <w:sz w:val="24"/>
                <w:szCs w:val="24"/>
                <w:color w:val="auto"/>
              </w:rPr>
            </w:pPr>
          </w:p>
        </w:tc>
        <w:tc>
          <w:tcPr>
            <w:tcW w:w="720" w:type="dxa"/>
            <w:vAlign w:val="bottom"/>
            <w:gridSpan w:val="2"/>
          </w:tcPr>
          <w:p>
            <w:pPr>
              <w:jc w:val="right"/>
              <w:ind w:right="139"/>
              <w:spacing w:after="0"/>
              <w:rPr>
                <w:sz w:val="20"/>
                <w:szCs w:val="20"/>
                <w:color w:val="auto"/>
              </w:rPr>
            </w:pPr>
            <w:r>
              <w:rPr>
                <w:rFonts w:ascii="Arial" w:cs="Arial" w:eastAsia="Arial" w:hAnsi="Arial"/>
                <w:sz w:val="16"/>
                <w:szCs w:val="16"/>
                <w:color w:val="auto"/>
                <w:w w:val="98"/>
              </w:rPr>
              <w:t>22,310</w:t>
            </w: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62,647</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35,795</w:t>
            </w: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59,080</w:t>
            </w: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54,356</w:t>
            </w: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46,697</w:t>
            </w: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65,094</w:t>
            </w: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34,703</w:t>
            </w:r>
          </w:p>
        </w:tc>
      </w:tr>
      <w:tr>
        <w:trPr>
          <w:trHeight w:val="171"/>
        </w:trPr>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1"/>
        </w:trPr>
        <w:tc>
          <w:tcPr>
            <w:tcW w:w="280" w:type="dxa"/>
            <w:vAlign w:val="bottom"/>
          </w:tcPr>
          <w:p>
            <w:pPr>
              <w:spacing w:after="0"/>
              <w:rPr>
                <w:sz w:val="15"/>
                <w:szCs w:val="15"/>
                <w:color w:val="auto"/>
              </w:rPr>
            </w:pPr>
          </w:p>
        </w:tc>
        <w:tc>
          <w:tcPr>
            <w:tcW w:w="144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color w:val="auto"/>
              </w:rPr>
              <w:t>Operating</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14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Income</w:t>
            </w:r>
          </w:p>
        </w:tc>
        <w:tc>
          <w:tcPr>
            <w:tcW w:w="8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2,199</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39,987</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16,078</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35,790</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33,103</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23,271</w:t>
            </w: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43,238</w:t>
            </w:r>
          </w:p>
        </w:tc>
        <w:tc>
          <w:tcPr>
            <w:tcW w:w="10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9,765</w:t>
            </w:r>
          </w:p>
        </w:tc>
      </w:tr>
      <w:tr>
        <w:trPr>
          <w:trHeight w:val="376"/>
        </w:trPr>
        <w:tc>
          <w:tcPr>
            <w:tcW w:w="28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color w:val="auto"/>
              </w:rPr>
              <w:t>Net Income</w:t>
            </w:r>
          </w:p>
        </w:tc>
        <w:tc>
          <w:tcPr>
            <w:tcW w:w="80" w:type="dxa"/>
            <w:vAlign w:val="bottom"/>
          </w:tcPr>
          <w:p>
            <w:pPr>
              <w:spacing w:after="0"/>
              <w:rPr>
                <w:sz w:val="24"/>
                <w:szCs w:val="24"/>
                <w:color w:val="auto"/>
              </w:rPr>
            </w:pPr>
          </w:p>
        </w:tc>
        <w:tc>
          <w:tcPr>
            <w:tcW w:w="720" w:type="dxa"/>
            <w:vAlign w:val="bottom"/>
            <w:gridSpan w:val="2"/>
          </w:tcPr>
          <w:p>
            <w:pPr>
              <w:jc w:val="right"/>
              <w:ind w:right="79"/>
              <w:spacing w:after="0"/>
              <w:rPr>
                <w:sz w:val="20"/>
                <w:szCs w:val="20"/>
                <w:color w:val="auto"/>
              </w:rPr>
            </w:pPr>
            <w:r>
              <w:rPr>
                <w:rFonts w:ascii="Arial" w:cs="Arial" w:eastAsia="Arial" w:hAnsi="Arial"/>
                <w:sz w:val="16"/>
                <w:szCs w:val="16"/>
                <w:color w:val="auto"/>
              </w:rPr>
              <w:t>(1,557)</w:t>
            </w: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30,448</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12,209</w:t>
            </w: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26,858</w:t>
            </w: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23,937</w:t>
            </w: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15,147</w:t>
            </w: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6"/>
                <w:szCs w:val="16"/>
                <w:color w:val="auto"/>
              </w:rPr>
              <w:t>30,048</w:t>
            </w:r>
          </w:p>
        </w:tc>
        <w:tc>
          <w:tcPr>
            <w:tcW w:w="10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(10,365)</w:t>
            </w:r>
          </w:p>
        </w:tc>
      </w:tr>
      <w:tr>
        <w:trPr>
          <w:trHeight w:val="171"/>
        </w:trPr>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1"/>
        </w:trPr>
        <w:tc>
          <w:tcPr>
            <w:tcW w:w="280" w:type="dxa"/>
            <w:vAlign w:val="bottom"/>
          </w:tcPr>
          <w:p>
            <w:pPr>
              <w:spacing w:after="0"/>
              <w:rPr>
                <w:sz w:val="15"/>
                <w:szCs w:val="15"/>
                <w:color w:val="auto"/>
              </w:rPr>
            </w:pPr>
          </w:p>
        </w:tc>
        <w:tc>
          <w:tcPr>
            <w:tcW w:w="1440" w:type="dxa"/>
            <w:vAlign w:val="bottom"/>
            <w:gridSpan w:val="2"/>
            <w:shd w:val="clear" w:color="auto" w:fill="CCEEFF"/>
          </w:tcPr>
          <w:p>
            <w:pPr>
              <w:ind w:left="20"/>
              <w:spacing w:after="0" w:line="181" w:lineRule="exact"/>
              <w:rPr>
                <w:sz w:val="20"/>
                <w:szCs w:val="20"/>
                <w:color w:val="auto"/>
              </w:rPr>
            </w:pPr>
            <w:r>
              <w:rPr>
                <w:rFonts w:ascii="Arial" w:cs="Arial" w:eastAsia="Arial" w:hAnsi="Arial"/>
                <w:sz w:val="16"/>
                <w:szCs w:val="16"/>
                <w:color w:val="auto"/>
              </w:rPr>
              <w:t>Earnings Per</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144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(.08)</w:t>
            </w:r>
          </w:p>
        </w:tc>
      </w:tr>
    </w:tbl>
    <w:p>
      <w:pPr>
        <w:spacing w:after="0" w:line="109" w:lineRule="exact"/>
        <w:rPr>
          <w:sz w:val="20"/>
          <w:szCs w:val="20"/>
          <w:color w:val="auto"/>
        </w:rPr>
      </w:pPr>
    </w:p>
    <w:p>
      <w:pPr>
        <w:ind w:left="280"/>
        <w:spacing w:after="0"/>
        <w:tabs>
          <w:tab w:leader="none" w:pos="580" w:val="left"/>
        </w:tabs>
        <w:rPr>
          <w:sz w:val="20"/>
          <w:szCs w:val="20"/>
          <w:color w:val="auto"/>
        </w:rPr>
      </w:pPr>
      <w:r>
        <w:rPr>
          <w:rFonts w:ascii="Arial" w:cs="Arial" w:eastAsia="Arial" w:hAnsi="Arial"/>
          <w:sz w:val="16"/>
          <w:szCs w:val="16"/>
          <w:color w:val="auto"/>
        </w:rPr>
        <w:t>*</w:t>
        <w:tab/>
        <w:t>Diluted</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Item 9. Changes in and Disagreements with Accountants on Accounting and Financial Disclosure.</w:t>
      </w:r>
    </w:p>
    <w:p>
      <w:pPr>
        <w:spacing w:after="0" w:line="176"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14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Item 9A. Controls and Procedures.</w:t>
      </w:r>
    </w:p>
    <w:p>
      <w:pPr>
        <w:spacing w:after="0" w:line="156"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Disclosure Controls and Procedures.</w:t>
      </w:r>
    </w:p>
    <w:p>
      <w:pPr>
        <w:spacing w:after="0" w:line="176" w:lineRule="exact"/>
        <w:rPr>
          <w:sz w:val="20"/>
          <w:szCs w:val="20"/>
          <w:color w:val="auto"/>
        </w:rPr>
      </w:pPr>
    </w:p>
    <w:p>
      <w:pPr>
        <w:ind w:left="280" w:right="1579"/>
        <w:spacing w:after="0" w:line="239" w:lineRule="auto"/>
        <w:rPr>
          <w:sz w:val="20"/>
          <w:szCs w:val="20"/>
          <w:color w:val="auto"/>
        </w:rPr>
      </w:pPr>
      <w:r>
        <w:rPr>
          <w:rFonts w:ascii="Arial" w:cs="Arial" w:eastAsia="Arial" w:hAnsi="Arial"/>
          <w:sz w:val="16"/>
          <w:szCs w:val="16"/>
          <w:color w:val="auto"/>
        </w:rPr>
        <w:t>As of December 31, 2009, an evaluation was performed under the supervision and with the participation of the Company’s management, including the CEO and CFO, of the effectiveness of the design and operation of the Company’s disclosure controls and procedures [(as defined in Exchange Act Rules 13a — 15(e) and 15d — 15(e)]. Based on that evaluation, the Company’s management, including the CEO and CFO, concluded that the Company’s disclosure controls and procedures were adequate and effective as of December 31, 2009, to ensure that material information relating to the Company would be made known to them by others within the Company, particularly during the period in which this Form 10-K was being prepared. During the period covered by this annual report, there have been no changes in the Company’s internal controls over financial reporting that have materially affected or are likely to materially affect the Company’s internal controls over financial reporting. There have been no significant changes in the Company’s internal controls or in other factors that could significantly affect internal controls subsequent to December 31, 2009.</w:t>
      </w:r>
    </w:p>
    <w:p>
      <w:pPr>
        <w:spacing w:after="0" w:line="140" w:lineRule="exact"/>
        <w:rPr>
          <w:sz w:val="20"/>
          <w:szCs w:val="20"/>
          <w:color w:val="auto"/>
        </w:rPr>
      </w:pPr>
    </w:p>
    <w:p>
      <w:pPr>
        <w:ind w:left="280"/>
        <w:spacing w:after="0"/>
        <w:rPr>
          <w:sz w:val="20"/>
          <w:szCs w:val="20"/>
          <w:color w:val="auto"/>
        </w:rPr>
      </w:pPr>
      <w:r>
        <w:rPr>
          <w:rFonts w:ascii="Arial" w:cs="Arial" w:eastAsia="Arial" w:hAnsi="Arial"/>
          <w:sz w:val="16"/>
          <w:szCs w:val="16"/>
          <w:b w:val="1"/>
          <w:bCs w:val="1"/>
          <w:u w:val="single" w:color="auto"/>
          <w:color w:val="auto"/>
        </w:rPr>
        <w:t>Management’s Report on Internal Control Over Financial Reporting.</w:t>
      </w:r>
    </w:p>
    <w:p>
      <w:pPr>
        <w:spacing w:after="0" w:line="176" w:lineRule="exact"/>
        <w:rPr>
          <w:sz w:val="20"/>
          <w:szCs w:val="20"/>
          <w:color w:val="auto"/>
        </w:rPr>
      </w:pPr>
    </w:p>
    <w:p>
      <w:pPr>
        <w:ind w:left="280" w:right="1539"/>
        <w:spacing w:after="0" w:line="239"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Rules 13a — 15(f) and 15d — 15(f). Under the supervision and with the participation of our management, including our principal executive officer and principal financial officer, we conducted an evaluation of the effectiveness of our internal control over financial reporting based on the framework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 — Integrated Framework </w:t>
      </w:r>
      <w:r>
        <w:rPr>
          <w:rFonts w:ascii="Arial" w:cs="Arial" w:eastAsia="Arial" w:hAnsi="Arial"/>
          <w:sz w:val="16"/>
          <w:szCs w:val="16"/>
          <w:color w:val="auto"/>
        </w:rPr>
        <w:t>issued by the Committee of Sponsoring Organizations of the Treadway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Commission. Based on our evaluation under the framework in </w:t>
      </w:r>
      <w:r>
        <w:rPr>
          <w:rFonts w:ascii="Arial" w:cs="Arial" w:eastAsia="Arial" w:hAnsi="Arial"/>
          <w:sz w:val="16"/>
          <w:szCs w:val="16"/>
          <w:i w:val="1"/>
          <w:iCs w:val="1"/>
          <w:color w:val="auto"/>
        </w:rPr>
        <w:t>Internal Framework — Integrated Framework</w:t>
      </w:r>
      <w:r>
        <w:rPr>
          <w:rFonts w:ascii="Arial" w:cs="Arial" w:eastAsia="Arial" w:hAnsi="Arial"/>
          <w:sz w:val="16"/>
          <w:szCs w:val="16"/>
          <w:color w:val="auto"/>
        </w:rPr>
        <w:t xml:space="preserve"> our management concluded that our internal control over financial reporting was effective as of December 31, 2009. The effectiveness of the Company’s internal control over financial reporting as of December 31, 2009, has been audited by Ernst &amp; Young LLP, an independent registered public accounting firm, as stated in their report which is included on page 30 hereof.</w:t>
      </w:r>
    </w:p>
    <w:p>
      <w:pPr>
        <w:spacing w:after="0" w:line="12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Item 9B. Other Information.</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Not applicable.</w:t>
      </w:r>
    </w:p>
    <w:p>
      <w:pPr>
        <w:spacing w:after="0" w:line="200" w:lineRule="exact"/>
        <w:rPr>
          <w:sz w:val="20"/>
          <w:szCs w:val="20"/>
          <w:color w:val="auto"/>
        </w:rPr>
      </w:pPr>
    </w:p>
    <w:p>
      <w:pPr>
        <w:spacing w:after="0" w:line="296"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81" w:right="1440"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4180"/>
        <w:spacing w:after="0"/>
        <w:rPr>
          <w:sz w:val="20"/>
          <w:szCs w:val="20"/>
          <w:color w:val="auto"/>
        </w:rPr>
      </w:pPr>
      <w:r>
        <w:rPr>
          <w:rFonts w:ascii="Arial" w:cs="Arial" w:eastAsia="Arial" w:hAnsi="Arial"/>
          <w:sz w:val="16"/>
          <w:szCs w:val="16"/>
          <w:b w:val="1"/>
          <w:bCs w:val="1"/>
          <w:color w:val="auto"/>
        </w:rPr>
        <w:t>PART III</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Item 10. Directors, Executive Officers and Corporate Governance.</w:t>
      </w:r>
    </w:p>
    <w:p>
      <w:pPr>
        <w:spacing w:after="0" w:line="176" w:lineRule="exact"/>
        <w:rPr>
          <w:sz w:val="20"/>
          <w:szCs w:val="20"/>
          <w:color w:val="auto"/>
        </w:rPr>
      </w:pPr>
    </w:p>
    <w:p>
      <w:pPr>
        <w:ind w:left="280" w:right="1579"/>
        <w:spacing w:after="0" w:line="239" w:lineRule="auto"/>
        <w:rPr>
          <w:sz w:val="20"/>
          <w:szCs w:val="20"/>
          <w:color w:val="auto"/>
        </w:rPr>
      </w:pPr>
      <w:r>
        <w:rPr>
          <w:rFonts w:ascii="Arial" w:cs="Arial" w:eastAsia="Arial" w:hAnsi="Arial"/>
          <w:sz w:val="16"/>
          <w:szCs w:val="16"/>
          <w:color w:val="auto"/>
        </w:rPr>
        <w:t>Information relating to executive officers is included in this report in the last section of Part I under the caption “Executive Officers of the Registrant”. Information relating to directors appearing under the caption “Election of Directors” in the definitive Proxy Statement for 2010 Annual Meeting of Shareholders and filed with the Commission within 120 days after the Company’s fiscal year end, December 31, 2009 (the “Proxy Statement”), is hereby incorporated herein by reference. No changes were made to the procedures by which shareholders may recommend nominees for the Board of Directors. Information concerning compliance with Section 16(a) of the Securities and Exchange Act of 1934 appearing under the caption “Section 16(A) Beneficial Ownership Reporting Compliance” in the definitive Proxy Statement is hereby incorporated herein by reference. Information relating to the Company’s Audit Committee and concerning whether at least one member of the Audit Committee is an “audit committee financial expert” as that term is defined under Item 407(d)(5) of Regulation S-K appearing under the caption “Corporate Governance — Audit Committee” in the definitive Proxy Statement is hereby incorporated by reference.</w:t>
      </w:r>
    </w:p>
    <w:p>
      <w:pPr>
        <w:spacing w:after="0" w:line="147" w:lineRule="exact"/>
        <w:rPr>
          <w:sz w:val="20"/>
          <w:szCs w:val="20"/>
          <w:color w:val="auto"/>
        </w:rPr>
      </w:pPr>
    </w:p>
    <w:p>
      <w:pPr>
        <w:ind w:left="280" w:right="1679"/>
        <w:spacing w:after="0"/>
        <w:rPr>
          <w:sz w:val="20"/>
          <w:szCs w:val="20"/>
          <w:color w:val="auto"/>
        </w:rPr>
      </w:pPr>
      <w:r>
        <w:rPr>
          <w:rFonts w:ascii="Arial" w:cs="Arial" w:eastAsia="Arial" w:hAnsi="Arial"/>
          <w:sz w:val="16"/>
          <w:szCs w:val="16"/>
          <w:color w:val="auto"/>
        </w:rPr>
        <w:t>The Company has adopted a Code of Ethics that applies to its principal executive officer, principal financial officer, and principal accounting officer. A copy of the Code of Ethics for Certain Senior Officers is available without charge, upon written request, from the Corporate Secretary of the Company, 600 N. Centennial Street, Zeeland, Michigan 49464. The Company intends to satisfy the disclosure requirement under Item 5.05 of Form 8-K regarding an amendment to, or waiver from, a provision of this Code of Ethics by posting such information on its website. Information contained in the Company’s website, whether currently posted or posted in the future, is not part of this document or the documents incorporated by reference in this document.</w:t>
      </w:r>
    </w:p>
    <w:p>
      <w:pPr>
        <w:spacing w:after="0" w:line="13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Item 11. Executive Compensation.</w:t>
      </w:r>
    </w:p>
    <w:p>
      <w:pPr>
        <w:spacing w:after="0" w:line="176" w:lineRule="exact"/>
        <w:rPr>
          <w:sz w:val="20"/>
          <w:szCs w:val="20"/>
          <w:color w:val="auto"/>
        </w:rPr>
      </w:pPr>
    </w:p>
    <w:p>
      <w:pPr>
        <w:ind w:left="280" w:right="1599"/>
        <w:spacing w:after="0" w:line="242" w:lineRule="auto"/>
        <w:rPr>
          <w:sz w:val="20"/>
          <w:szCs w:val="20"/>
          <w:color w:val="auto"/>
        </w:rPr>
      </w:pPr>
      <w:r>
        <w:rPr>
          <w:rFonts w:ascii="Arial" w:cs="Arial" w:eastAsia="Arial" w:hAnsi="Arial"/>
          <w:sz w:val="16"/>
          <w:szCs w:val="16"/>
          <w:color w:val="auto"/>
        </w:rPr>
        <w:t>The information contained under the caption “Compensation Committee Report,” “Compensation Discussion and Analysis,” “Executive Compensation” and “Compensation Committee Interlocks and Insider Participation” contained in the definitive Proxy Statement is hereby incorporated herein by reference. The “Compensation Committee Report” shall not be deemed to be soliciting material or to be filed with the commission.</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Item 12. Security Ownership of Certain Beneficial Owners and Management and Related Stockholder Matters.</w:t>
      </w:r>
    </w:p>
    <w:p>
      <w:pPr>
        <w:spacing w:after="0" w:line="188" w:lineRule="exact"/>
        <w:rPr>
          <w:sz w:val="20"/>
          <w:szCs w:val="20"/>
          <w:color w:val="auto"/>
        </w:rPr>
      </w:pPr>
    </w:p>
    <w:p>
      <w:pPr>
        <w:ind w:left="280" w:right="1579"/>
        <w:spacing w:after="0" w:line="242" w:lineRule="auto"/>
        <w:rPr>
          <w:sz w:val="20"/>
          <w:szCs w:val="20"/>
          <w:color w:val="auto"/>
        </w:rPr>
      </w:pPr>
      <w:r>
        <w:rPr>
          <w:rFonts w:ascii="Arial" w:cs="Arial" w:eastAsia="Arial" w:hAnsi="Arial"/>
          <w:sz w:val="16"/>
          <w:szCs w:val="16"/>
          <w:color w:val="auto"/>
        </w:rPr>
        <w:t>The information contained under the captions “Common Stock Ownership of Management,” “Common Stock Ownership of Certain Beneficial Owners,” and “Equity Compensation Plan Summary” contained in the definitive Proxy Statement is hereby incorporated herein by reference. There are no arrangements known to the registrant, the operation of which may at a subsequent date result in a change in control.</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Item 13. Certain Relationships and Related Transactions, and Director Independence.</w:t>
      </w:r>
    </w:p>
    <w:p>
      <w:pPr>
        <w:spacing w:after="0" w:line="176" w:lineRule="exact"/>
        <w:rPr>
          <w:sz w:val="20"/>
          <w:szCs w:val="20"/>
          <w:color w:val="auto"/>
        </w:rPr>
      </w:pPr>
    </w:p>
    <w:p>
      <w:pPr>
        <w:ind w:left="280" w:right="1839"/>
        <w:spacing w:after="0" w:line="244" w:lineRule="auto"/>
        <w:rPr>
          <w:sz w:val="20"/>
          <w:szCs w:val="20"/>
          <w:color w:val="auto"/>
        </w:rPr>
      </w:pPr>
      <w:r>
        <w:rPr>
          <w:rFonts w:ascii="Arial" w:cs="Arial" w:eastAsia="Arial" w:hAnsi="Arial"/>
          <w:sz w:val="16"/>
          <w:szCs w:val="16"/>
          <w:color w:val="auto"/>
        </w:rPr>
        <w:t>The information contained under the caption “Certain Transactions” contained in the definitive Proxy Statement is hereby incorporated herein by reference. The information contained under the caption “Election of Directors” contained in the definitive Proxy Statement is hereby incorporated by reference.</w:t>
      </w:r>
    </w:p>
    <w:p>
      <w:pPr>
        <w:spacing w:after="0" w:line="136"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Item 14. Principal Accounting Fee and Services.</w:t>
      </w:r>
    </w:p>
    <w:p>
      <w:pPr>
        <w:spacing w:after="0" w:line="176" w:lineRule="exact"/>
        <w:rPr>
          <w:sz w:val="20"/>
          <w:szCs w:val="20"/>
          <w:color w:val="auto"/>
        </w:rPr>
      </w:pPr>
    </w:p>
    <w:p>
      <w:pPr>
        <w:ind w:left="280" w:right="1639"/>
        <w:spacing w:after="0"/>
        <w:rPr>
          <w:sz w:val="20"/>
          <w:szCs w:val="20"/>
          <w:color w:val="auto"/>
        </w:rPr>
      </w:pPr>
      <w:r>
        <w:rPr>
          <w:rFonts w:ascii="Arial" w:cs="Arial" w:eastAsia="Arial" w:hAnsi="Arial"/>
          <w:sz w:val="16"/>
          <w:szCs w:val="16"/>
          <w:color w:val="auto"/>
        </w:rPr>
        <w:t>Information regarding principal accounting fees and services set forth under the caption “Ratification of Appointment of Independent Auditors — Principal Accounting Fees and Services” in the definitive Proxy Statement is hereby incorporated herein by reference. Information concerning the policy adopted by the Audit Committee regarding the pre-approval of audit and non-audit services provided by the Company’s independent auditors set forth under the caption “Corporate Governance — Audit Committee” in the definitive Proxy Statement is hereby incorporated by reference.</w:t>
      </w:r>
    </w:p>
    <w:p>
      <w:pPr>
        <w:spacing w:after="0" w:line="200" w:lineRule="exact"/>
        <w:rPr>
          <w:sz w:val="20"/>
          <w:szCs w:val="20"/>
          <w:color w:val="auto"/>
        </w:rPr>
      </w:pPr>
    </w:p>
    <w:p>
      <w:pPr>
        <w:spacing w:after="0" w:line="300"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Item 15. Exhibits, Financial Statement Schedules and Reports on Form 8-K.</w:t>
      </w:r>
    </w:p>
    <w:p>
      <w:pPr>
        <w:spacing w:after="0" w:line="188" w:lineRule="exact"/>
        <w:rPr>
          <w:sz w:val="20"/>
          <w:szCs w:val="20"/>
          <w:color w:val="auto"/>
        </w:rPr>
      </w:pPr>
    </w:p>
    <w:p>
      <w:pPr>
        <w:ind w:left="940" w:hanging="323"/>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1.   Financial Statements. See Part II, Item 8.</w:t>
      </w:r>
    </w:p>
    <w:p>
      <w:pPr>
        <w:spacing w:after="0" w:line="156" w:lineRule="exact"/>
        <w:rPr>
          <w:rFonts w:ascii="Arial" w:cs="Arial" w:eastAsia="Arial" w:hAnsi="Arial"/>
          <w:sz w:val="16"/>
          <w:szCs w:val="16"/>
          <w:color w:val="auto"/>
        </w:rPr>
      </w:pPr>
    </w:p>
    <w:p>
      <w:pPr>
        <w:ind w:left="1280" w:hanging="323"/>
        <w:spacing w:after="0"/>
        <w:tabs>
          <w:tab w:leader="none" w:pos="12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Financial Statements Schedules. None required or not applicable.</w:t>
      </w:r>
    </w:p>
    <w:p>
      <w:pPr>
        <w:spacing w:after="0" w:line="144" w:lineRule="exact"/>
        <w:rPr>
          <w:rFonts w:ascii="Arial" w:cs="Arial" w:eastAsia="Arial" w:hAnsi="Arial"/>
          <w:sz w:val="16"/>
          <w:szCs w:val="16"/>
          <w:color w:val="auto"/>
        </w:rPr>
      </w:pPr>
    </w:p>
    <w:p>
      <w:pPr>
        <w:ind w:left="1280" w:hanging="323"/>
        <w:spacing w:after="0"/>
        <w:tabs>
          <w:tab w:leader="none" w:pos="128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Exhibits. See Exhibit Index located on page 51.</w:t>
      </w:r>
    </w:p>
    <w:p>
      <w:pPr>
        <w:spacing w:after="0" w:line="156" w:lineRule="exact"/>
        <w:rPr>
          <w:rFonts w:ascii="Arial" w:cs="Arial" w:eastAsia="Arial" w:hAnsi="Arial"/>
          <w:sz w:val="16"/>
          <w:szCs w:val="16"/>
          <w:color w:val="auto"/>
        </w:rPr>
      </w:pPr>
    </w:p>
    <w:p>
      <w:pPr>
        <w:ind w:left="940" w:hanging="323"/>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 (a) above.</w:t>
      </w:r>
    </w:p>
    <w:p>
      <w:pPr>
        <w:spacing w:after="0" w:line="144" w:lineRule="exact"/>
        <w:rPr>
          <w:rFonts w:ascii="Arial" w:cs="Arial" w:eastAsia="Arial" w:hAnsi="Arial"/>
          <w:sz w:val="16"/>
          <w:szCs w:val="16"/>
          <w:color w:val="auto"/>
        </w:rPr>
      </w:pPr>
    </w:p>
    <w:p>
      <w:pPr>
        <w:ind w:left="940" w:hanging="323"/>
        <w:spacing w:after="0"/>
        <w:tabs>
          <w:tab w:leader="none" w:pos="9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See (a) above.</w:t>
      </w:r>
    </w:p>
    <w:p>
      <w:pPr>
        <w:spacing w:after="0" w:line="200" w:lineRule="exact"/>
        <w:rPr>
          <w:rFonts w:ascii="Arial" w:cs="Arial" w:eastAsia="Arial" w:hAnsi="Arial"/>
          <w:sz w:val="16"/>
          <w:szCs w:val="16"/>
          <w:color w:val="auto"/>
        </w:rPr>
      </w:pPr>
    </w:p>
    <w:p>
      <w:pPr>
        <w:spacing w:after="0" w:line="308" w:lineRule="exact"/>
        <w:rPr>
          <w:rFonts w:ascii="Arial" w:cs="Arial" w:eastAsia="Arial" w:hAnsi="Arial"/>
          <w:sz w:val="16"/>
          <w:szCs w:val="16"/>
          <w:color w:val="auto"/>
        </w:rPr>
      </w:pPr>
    </w:p>
    <w:p>
      <w:pPr>
        <w:ind w:left="4400" w:hanging="101"/>
        <w:spacing w:after="0"/>
        <w:tabs>
          <w:tab w:leader="none" w:pos="4400" w:val="left"/>
        </w:tabs>
        <w:numPr>
          <w:ilvl w:val="2"/>
          <w:numId w:val="13"/>
        </w:numPr>
        <w:rPr>
          <w:rFonts w:ascii="Arial" w:cs="Arial" w:eastAsia="Arial" w:hAnsi="Arial"/>
          <w:sz w:val="16"/>
          <w:szCs w:val="16"/>
          <w:color w:val="auto"/>
        </w:rPr>
      </w:pPr>
      <w:r>
        <w:rPr>
          <w:rFonts w:ascii="Arial" w:cs="Arial" w:eastAsia="Arial" w:hAnsi="Arial"/>
          <w:sz w:val="16"/>
          <w:szCs w:val="16"/>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2460"/>
        <w:spacing w:after="0"/>
        <w:rPr>
          <w:sz w:val="20"/>
          <w:szCs w:val="20"/>
          <w:color w:val="auto"/>
        </w:rPr>
      </w:pPr>
      <w:r>
        <w:rPr>
          <w:rFonts w:ascii="Arial" w:cs="Arial" w:eastAsia="Arial" w:hAnsi="Arial"/>
          <w:sz w:val="16"/>
          <w:szCs w:val="16"/>
          <w:b w:val="1"/>
          <w:bCs w:val="1"/>
          <w:color w:val="auto"/>
        </w:rPr>
        <w:t>SIGNATURES</w:t>
      </w:r>
    </w:p>
    <w:p>
      <w:pPr>
        <w:spacing w:after="0" w:line="188" w:lineRule="exact"/>
        <w:rPr>
          <w:sz w:val="20"/>
          <w:szCs w:val="20"/>
          <w:color w:val="auto"/>
        </w:rPr>
      </w:pPr>
    </w:p>
    <w:p>
      <w:pPr>
        <w:ind w:left="280" w:right="2960" w:firstLine="336"/>
        <w:spacing w:after="0" w:line="251" w:lineRule="auto"/>
        <w:rPr>
          <w:sz w:val="20"/>
          <w:szCs w:val="20"/>
          <w:color w:val="auto"/>
        </w:rPr>
      </w:pPr>
      <w:r>
        <w:rPr>
          <w:rFonts w:ascii="Arial" w:cs="Arial" w:eastAsia="Arial" w:hAnsi="Arial"/>
          <w:sz w:val="16"/>
          <w:szCs w:val="16"/>
          <w:color w:val="auto"/>
        </w:rPr>
        <w:t>Pursuant to the requirements of Section 13 of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280"/>
        <w:spacing w:after="0"/>
        <w:tabs>
          <w:tab w:leader="none" w:pos="3480" w:val="left"/>
        </w:tabs>
        <w:rPr>
          <w:sz w:val="20"/>
          <w:szCs w:val="20"/>
          <w:color w:val="auto"/>
        </w:rPr>
      </w:pPr>
      <w:r>
        <w:rPr>
          <w:rFonts w:ascii="Arial" w:cs="Arial" w:eastAsia="Arial" w:hAnsi="Arial"/>
          <w:sz w:val="16"/>
          <w:szCs w:val="16"/>
          <w:color w:val="auto"/>
        </w:rPr>
        <w:t>Dated: February 18, 2010</w:t>
      </w:r>
      <w:r>
        <w:rPr>
          <w:sz w:val="20"/>
          <w:szCs w:val="20"/>
          <w:color w:val="auto"/>
        </w:rPr>
        <w:tab/>
      </w:r>
      <w:r>
        <w:rPr>
          <w:rFonts w:ascii="Arial" w:cs="Arial" w:eastAsia="Arial" w:hAnsi="Arial"/>
          <w:sz w:val="16"/>
          <w:szCs w:val="16"/>
          <w:color w:val="auto"/>
        </w:rPr>
        <w:t>GENTEX CORPORATION</w:t>
      </w:r>
    </w:p>
    <w:p>
      <w:pPr>
        <w:spacing w:after="0" w:line="181"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By: /s/ Fred 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2436495</wp:posOffset>
            </wp:positionH>
            <wp:positionV relativeFrom="paragraph">
              <wp:posOffset>0</wp:posOffset>
            </wp:positionV>
            <wp:extent cx="246126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461260" cy="7620"/>
                    </a:xfrm>
                    <a:prstGeom prst="rect">
                      <a:avLst/>
                    </a:prstGeom>
                    <a:noFill/>
                  </pic:spPr>
                </pic:pic>
              </a:graphicData>
            </a:graphic>
          </wp:anchor>
        </w:drawing>
      </w:r>
    </w:p>
    <w:p>
      <w:pPr>
        <w:ind w:left="3840"/>
        <w:spacing w:after="0"/>
        <w:rPr>
          <w:sz w:val="20"/>
          <w:szCs w:val="20"/>
          <w:color w:val="auto"/>
        </w:rPr>
      </w:pPr>
      <w:r>
        <w:rPr>
          <w:rFonts w:ascii="Arial" w:cs="Arial" w:eastAsia="Arial" w:hAnsi="Arial"/>
          <w:sz w:val="16"/>
          <w:szCs w:val="16"/>
          <w:color w:val="auto"/>
        </w:rPr>
        <w:t>Fred Bauer, Chairman and Principal Executive Officer</w:t>
      </w:r>
    </w:p>
    <w:p>
      <w:pPr>
        <w:spacing w:after="0" w:line="181" w:lineRule="exact"/>
        <w:rPr>
          <w:sz w:val="20"/>
          <w:szCs w:val="20"/>
          <w:color w:val="auto"/>
        </w:rPr>
      </w:pPr>
    </w:p>
    <w:p>
      <w:pPr>
        <w:ind w:left="3500"/>
        <w:spacing w:after="0"/>
        <w:rPr>
          <w:sz w:val="20"/>
          <w:szCs w:val="20"/>
          <w:color w:val="auto"/>
        </w:rPr>
      </w:pPr>
      <w:r>
        <w:rPr>
          <w:rFonts w:ascii="Arial" w:cs="Arial" w:eastAsia="Arial" w:hAnsi="Arial"/>
          <w:sz w:val="16"/>
          <w:szCs w:val="16"/>
          <w:color w:val="auto"/>
        </w:rPr>
        <w:t>and</w:t>
      </w:r>
    </w:p>
    <w:p>
      <w:pPr>
        <w:spacing w:after="0" w:line="181" w:lineRule="exact"/>
        <w:rPr>
          <w:sz w:val="20"/>
          <w:szCs w:val="20"/>
          <w:color w:val="auto"/>
        </w:rPr>
      </w:pPr>
    </w:p>
    <w:p>
      <w:pPr>
        <w:ind w:left="3840"/>
        <w:spacing w:after="0"/>
        <w:rPr>
          <w:sz w:val="20"/>
          <w:szCs w:val="20"/>
          <w:color w:val="auto"/>
        </w:rPr>
      </w:pPr>
      <w:r>
        <w:rPr>
          <w:rFonts w:ascii="Arial" w:cs="Arial" w:eastAsia="Arial" w:hAnsi="Arial"/>
          <w:sz w:val="16"/>
          <w:szCs w:val="16"/>
          <w:color w:val="auto"/>
        </w:rPr>
        <w:t>/s/ Steven Dykman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2436495</wp:posOffset>
            </wp:positionH>
            <wp:positionV relativeFrom="paragraph">
              <wp:posOffset>0</wp:posOffset>
            </wp:positionV>
            <wp:extent cx="246126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61260" cy="7620"/>
                    </a:xfrm>
                    <a:prstGeom prst="rect">
                      <a:avLst/>
                    </a:prstGeom>
                    <a:noFill/>
                  </pic:spPr>
                </pic:pic>
              </a:graphicData>
            </a:graphic>
          </wp:anchor>
        </w:drawing>
      </w:r>
    </w:p>
    <w:p>
      <w:pPr>
        <w:ind w:left="3840"/>
        <w:spacing w:after="0"/>
        <w:rPr>
          <w:sz w:val="20"/>
          <w:szCs w:val="20"/>
          <w:color w:val="auto"/>
        </w:rPr>
      </w:pPr>
      <w:r>
        <w:rPr>
          <w:rFonts w:ascii="Arial" w:cs="Arial" w:eastAsia="Arial" w:hAnsi="Arial"/>
          <w:sz w:val="16"/>
          <w:szCs w:val="16"/>
          <w:color w:val="auto"/>
        </w:rPr>
        <w:t>Steven Dykman, Vice President-Finance and</w:t>
      </w:r>
    </w:p>
    <w:p>
      <w:pPr>
        <w:ind w:left="3840"/>
        <w:spacing w:after="0"/>
        <w:rPr>
          <w:sz w:val="20"/>
          <w:szCs w:val="20"/>
          <w:color w:val="auto"/>
        </w:rPr>
      </w:pPr>
      <w:r>
        <w:rPr>
          <w:rFonts w:ascii="Arial" w:cs="Arial" w:eastAsia="Arial" w:hAnsi="Arial"/>
          <w:sz w:val="16"/>
          <w:szCs w:val="16"/>
          <w:color w:val="auto"/>
        </w:rPr>
        <w:t>Principal Financial and Accounting Officer</w:t>
      </w:r>
    </w:p>
    <w:p>
      <w:pPr>
        <w:spacing w:after="0" w:line="156" w:lineRule="exact"/>
        <w:rPr>
          <w:sz w:val="20"/>
          <w:szCs w:val="20"/>
          <w:color w:val="auto"/>
        </w:rPr>
      </w:pPr>
    </w:p>
    <w:p>
      <w:pPr>
        <w:ind w:left="280" w:right="2860" w:firstLine="336"/>
        <w:spacing w:after="0" w:line="251"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on this 18</w:t>
      </w:r>
      <w:r>
        <w:rPr>
          <w:rFonts w:ascii="Arial" w:cs="Arial" w:eastAsia="Arial" w:hAnsi="Arial"/>
          <w:sz w:val="13"/>
          <w:szCs w:val="13"/>
          <w:color w:val="auto"/>
        </w:rPr>
        <w:t>th</w:t>
      </w:r>
      <w:r>
        <w:rPr>
          <w:rFonts w:ascii="Arial" w:cs="Arial" w:eastAsia="Arial" w:hAnsi="Arial"/>
          <w:sz w:val="16"/>
          <w:szCs w:val="16"/>
          <w:color w:val="auto"/>
        </w:rPr>
        <w:t xml:space="preserve"> day of February, 2010, by the following persons on behalf of the registrant and in the capacities indicated.</w:t>
      </w:r>
    </w:p>
    <w:p>
      <w:pPr>
        <w:spacing w:after="0" w:line="138" w:lineRule="exact"/>
        <w:rPr>
          <w:sz w:val="20"/>
          <w:szCs w:val="20"/>
          <w:color w:val="auto"/>
        </w:rPr>
      </w:pPr>
    </w:p>
    <w:p>
      <w:pPr>
        <w:ind w:left="280" w:right="2880" w:firstLine="336"/>
        <w:spacing w:after="0" w:line="242" w:lineRule="auto"/>
        <w:rPr>
          <w:sz w:val="20"/>
          <w:szCs w:val="20"/>
          <w:color w:val="auto"/>
        </w:rPr>
      </w:pPr>
      <w:r>
        <w:rPr>
          <w:rFonts w:ascii="Arial" w:cs="Arial" w:eastAsia="Arial" w:hAnsi="Arial"/>
          <w:sz w:val="16"/>
          <w:szCs w:val="16"/>
          <w:color w:val="auto"/>
        </w:rPr>
        <w:t>Each Director of the registrant whose signature appears below hereby appoints Enoch Jen and Steve Dykman, each of them individually, as his attorney-in-fact to sign in his name and on his behalf, and to file with the Commission any and all amendments to this report on Form 10-K to the same extent and with the same effect as if done personally.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Fred Bauer</w:t>
            </w:r>
          </w:p>
        </w:tc>
        <w:tc>
          <w:tcPr>
            <w:tcW w:w="7420" w:type="dxa"/>
            <w:vAlign w:val="bottom"/>
          </w:tcPr>
          <w:p>
            <w:pPr>
              <w:ind w:left="460"/>
              <w:spacing w:after="0"/>
              <w:rPr>
                <w:sz w:val="20"/>
                <w:szCs w:val="20"/>
                <w:color w:val="auto"/>
              </w:rPr>
            </w:pPr>
            <w:r>
              <w:rPr>
                <w:rFonts w:ascii="Arial" w:cs="Arial" w:eastAsia="Arial" w:hAnsi="Arial"/>
                <w:sz w:val="16"/>
                <w:szCs w:val="16"/>
                <w:color w:val="auto"/>
              </w:rPr>
              <w:t>Director</w:t>
            </w:r>
          </w:p>
        </w:tc>
      </w:tr>
      <w:tr>
        <w:trPr>
          <w:trHeight w:val="198"/>
        </w:trPr>
        <w:tc>
          <w:tcPr>
            <w:tcW w:w="280" w:type="dxa"/>
            <w:vAlign w:val="bottom"/>
          </w:tcPr>
          <w:p>
            <w:pPr>
              <w:spacing w:after="0"/>
              <w:rPr>
                <w:sz w:val="17"/>
                <w:szCs w:val="17"/>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Fred Bauer</w:t>
            </w:r>
          </w:p>
        </w:tc>
        <w:tc>
          <w:tcPr>
            <w:tcW w:w="7420" w:type="dxa"/>
            <w:vAlign w:val="bottom"/>
          </w:tcPr>
          <w:p>
            <w:pPr>
              <w:spacing w:after="0"/>
              <w:rPr>
                <w:sz w:val="17"/>
                <w:szCs w:val="17"/>
                <w:color w:val="auto"/>
              </w:rPr>
            </w:pPr>
          </w:p>
        </w:tc>
      </w:tr>
      <w:tr>
        <w:trPr>
          <w:trHeight w:val="353"/>
        </w:trPr>
        <w:tc>
          <w:tcPr>
            <w:tcW w:w="280" w:type="dxa"/>
            <w:vAlign w:val="bottom"/>
          </w:tcPr>
          <w:p>
            <w:pPr>
              <w:spacing w:after="0"/>
              <w:rPr>
                <w:sz w:val="24"/>
                <w:szCs w:val="24"/>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Gary Goode</w:t>
            </w:r>
          </w:p>
        </w:tc>
        <w:tc>
          <w:tcPr>
            <w:tcW w:w="7420" w:type="dxa"/>
            <w:vAlign w:val="bottom"/>
          </w:tcPr>
          <w:p>
            <w:pPr>
              <w:ind w:left="460"/>
              <w:spacing w:after="0"/>
              <w:rPr>
                <w:sz w:val="20"/>
                <w:szCs w:val="20"/>
                <w:color w:val="auto"/>
              </w:rPr>
            </w:pPr>
            <w:r>
              <w:rPr>
                <w:rFonts w:ascii="Arial" w:cs="Arial" w:eastAsia="Arial" w:hAnsi="Arial"/>
                <w:sz w:val="16"/>
                <w:szCs w:val="16"/>
                <w:color w:val="auto"/>
              </w:rPr>
              <w:t>Director</w:t>
            </w:r>
          </w:p>
        </w:tc>
      </w:tr>
      <w:tr>
        <w:trPr>
          <w:trHeight w:val="198"/>
        </w:trPr>
        <w:tc>
          <w:tcPr>
            <w:tcW w:w="280" w:type="dxa"/>
            <w:vAlign w:val="bottom"/>
          </w:tcPr>
          <w:p>
            <w:pPr>
              <w:spacing w:after="0"/>
              <w:rPr>
                <w:sz w:val="17"/>
                <w:szCs w:val="17"/>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Gary Goode</w:t>
            </w:r>
          </w:p>
        </w:tc>
        <w:tc>
          <w:tcPr>
            <w:tcW w:w="7420" w:type="dxa"/>
            <w:vAlign w:val="bottom"/>
          </w:tcPr>
          <w:p>
            <w:pPr>
              <w:spacing w:after="0"/>
              <w:rPr>
                <w:sz w:val="17"/>
                <w:szCs w:val="17"/>
                <w:color w:val="auto"/>
              </w:rPr>
            </w:pPr>
          </w:p>
        </w:tc>
      </w:tr>
      <w:tr>
        <w:trPr>
          <w:trHeight w:val="353"/>
        </w:trPr>
        <w:tc>
          <w:tcPr>
            <w:tcW w:w="280" w:type="dxa"/>
            <w:vAlign w:val="bottom"/>
          </w:tcPr>
          <w:p>
            <w:pPr>
              <w:spacing w:after="0"/>
              <w:rPr>
                <w:sz w:val="24"/>
                <w:szCs w:val="24"/>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Kenneth La Grand</w:t>
            </w:r>
          </w:p>
        </w:tc>
        <w:tc>
          <w:tcPr>
            <w:tcW w:w="7420" w:type="dxa"/>
            <w:vAlign w:val="bottom"/>
          </w:tcPr>
          <w:p>
            <w:pPr>
              <w:ind w:left="460"/>
              <w:spacing w:after="0"/>
              <w:rPr>
                <w:sz w:val="20"/>
                <w:szCs w:val="20"/>
                <w:color w:val="auto"/>
              </w:rPr>
            </w:pPr>
            <w:r>
              <w:rPr>
                <w:rFonts w:ascii="Arial" w:cs="Arial" w:eastAsia="Arial" w:hAnsi="Arial"/>
                <w:sz w:val="16"/>
                <w:szCs w:val="16"/>
                <w:color w:val="auto"/>
              </w:rPr>
              <w:t>Director</w:t>
            </w:r>
          </w:p>
        </w:tc>
      </w:tr>
      <w:tr>
        <w:trPr>
          <w:trHeight w:val="198"/>
        </w:trPr>
        <w:tc>
          <w:tcPr>
            <w:tcW w:w="280" w:type="dxa"/>
            <w:vAlign w:val="bottom"/>
          </w:tcPr>
          <w:p>
            <w:pPr>
              <w:spacing w:after="0"/>
              <w:rPr>
                <w:sz w:val="17"/>
                <w:szCs w:val="17"/>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Kenneth La Grand</w:t>
            </w:r>
          </w:p>
        </w:tc>
        <w:tc>
          <w:tcPr>
            <w:tcW w:w="7420" w:type="dxa"/>
            <w:vAlign w:val="bottom"/>
          </w:tcPr>
          <w:p>
            <w:pPr>
              <w:spacing w:after="0"/>
              <w:rPr>
                <w:sz w:val="17"/>
                <w:szCs w:val="17"/>
                <w:color w:val="auto"/>
              </w:rPr>
            </w:pPr>
          </w:p>
        </w:tc>
      </w:tr>
      <w:tr>
        <w:trPr>
          <w:trHeight w:val="353"/>
        </w:trPr>
        <w:tc>
          <w:tcPr>
            <w:tcW w:w="280" w:type="dxa"/>
            <w:vAlign w:val="bottom"/>
          </w:tcPr>
          <w:p>
            <w:pPr>
              <w:spacing w:after="0"/>
              <w:rPr>
                <w:sz w:val="24"/>
                <w:szCs w:val="24"/>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Arlyn Lanting</w:t>
            </w:r>
          </w:p>
        </w:tc>
        <w:tc>
          <w:tcPr>
            <w:tcW w:w="7420" w:type="dxa"/>
            <w:vAlign w:val="bottom"/>
          </w:tcPr>
          <w:p>
            <w:pPr>
              <w:ind w:left="460"/>
              <w:spacing w:after="0"/>
              <w:rPr>
                <w:sz w:val="20"/>
                <w:szCs w:val="20"/>
                <w:color w:val="auto"/>
              </w:rPr>
            </w:pPr>
            <w:r>
              <w:rPr>
                <w:rFonts w:ascii="Arial" w:cs="Arial" w:eastAsia="Arial" w:hAnsi="Arial"/>
                <w:sz w:val="16"/>
                <w:szCs w:val="16"/>
                <w:color w:val="auto"/>
              </w:rPr>
              <w:t>Director</w:t>
            </w:r>
          </w:p>
        </w:tc>
      </w:tr>
      <w:tr>
        <w:trPr>
          <w:trHeight w:val="198"/>
        </w:trPr>
        <w:tc>
          <w:tcPr>
            <w:tcW w:w="280" w:type="dxa"/>
            <w:vAlign w:val="bottom"/>
          </w:tcPr>
          <w:p>
            <w:pPr>
              <w:spacing w:after="0"/>
              <w:rPr>
                <w:sz w:val="17"/>
                <w:szCs w:val="17"/>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Arlyn Lanting</w:t>
            </w:r>
          </w:p>
        </w:tc>
        <w:tc>
          <w:tcPr>
            <w:tcW w:w="7420" w:type="dxa"/>
            <w:vAlign w:val="bottom"/>
          </w:tcPr>
          <w:p>
            <w:pPr>
              <w:spacing w:after="0"/>
              <w:rPr>
                <w:sz w:val="17"/>
                <w:szCs w:val="17"/>
                <w:color w:val="auto"/>
              </w:rPr>
            </w:pPr>
          </w:p>
        </w:tc>
      </w:tr>
      <w:tr>
        <w:trPr>
          <w:trHeight w:val="353"/>
        </w:trPr>
        <w:tc>
          <w:tcPr>
            <w:tcW w:w="280" w:type="dxa"/>
            <w:vAlign w:val="bottom"/>
          </w:tcPr>
          <w:p>
            <w:pPr>
              <w:spacing w:after="0"/>
              <w:rPr>
                <w:sz w:val="24"/>
                <w:szCs w:val="24"/>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John Mulder</w:t>
            </w:r>
          </w:p>
        </w:tc>
        <w:tc>
          <w:tcPr>
            <w:tcW w:w="7420" w:type="dxa"/>
            <w:vAlign w:val="bottom"/>
          </w:tcPr>
          <w:p>
            <w:pPr>
              <w:ind w:left="460"/>
              <w:spacing w:after="0"/>
              <w:rPr>
                <w:sz w:val="20"/>
                <w:szCs w:val="20"/>
                <w:color w:val="auto"/>
              </w:rPr>
            </w:pPr>
            <w:r>
              <w:rPr>
                <w:rFonts w:ascii="Arial" w:cs="Arial" w:eastAsia="Arial" w:hAnsi="Arial"/>
                <w:sz w:val="16"/>
                <w:szCs w:val="16"/>
                <w:color w:val="auto"/>
              </w:rPr>
              <w:t>Director</w:t>
            </w:r>
          </w:p>
        </w:tc>
      </w:tr>
      <w:tr>
        <w:trPr>
          <w:trHeight w:val="198"/>
        </w:trPr>
        <w:tc>
          <w:tcPr>
            <w:tcW w:w="280" w:type="dxa"/>
            <w:vAlign w:val="bottom"/>
          </w:tcPr>
          <w:p>
            <w:pPr>
              <w:spacing w:after="0"/>
              <w:rPr>
                <w:sz w:val="17"/>
                <w:szCs w:val="17"/>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John Mulder</w:t>
            </w:r>
          </w:p>
        </w:tc>
        <w:tc>
          <w:tcPr>
            <w:tcW w:w="7420" w:type="dxa"/>
            <w:vAlign w:val="bottom"/>
          </w:tcPr>
          <w:p>
            <w:pPr>
              <w:spacing w:after="0"/>
              <w:rPr>
                <w:sz w:val="17"/>
                <w:szCs w:val="17"/>
                <w:color w:val="auto"/>
              </w:rPr>
            </w:pPr>
          </w:p>
        </w:tc>
      </w:tr>
      <w:tr>
        <w:trPr>
          <w:trHeight w:val="353"/>
        </w:trPr>
        <w:tc>
          <w:tcPr>
            <w:tcW w:w="280" w:type="dxa"/>
            <w:vAlign w:val="bottom"/>
          </w:tcPr>
          <w:p>
            <w:pPr>
              <w:spacing w:after="0"/>
              <w:rPr>
                <w:sz w:val="24"/>
                <w:szCs w:val="24"/>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Rande Somma</w:t>
            </w:r>
          </w:p>
        </w:tc>
        <w:tc>
          <w:tcPr>
            <w:tcW w:w="7420" w:type="dxa"/>
            <w:vAlign w:val="bottom"/>
          </w:tcPr>
          <w:p>
            <w:pPr>
              <w:ind w:left="460"/>
              <w:spacing w:after="0"/>
              <w:rPr>
                <w:sz w:val="20"/>
                <w:szCs w:val="20"/>
                <w:color w:val="auto"/>
              </w:rPr>
            </w:pPr>
            <w:r>
              <w:rPr>
                <w:rFonts w:ascii="Arial" w:cs="Arial" w:eastAsia="Arial" w:hAnsi="Arial"/>
                <w:sz w:val="16"/>
                <w:szCs w:val="16"/>
                <w:color w:val="auto"/>
              </w:rPr>
              <w:t>Director</w:t>
            </w:r>
          </w:p>
        </w:tc>
      </w:tr>
      <w:tr>
        <w:trPr>
          <w:trHeight w:val="198"/>
        </w:trPr>
        <w:tc>
          <w:tcPr>
            <w:tcW w:w="280" w:type="dxa"/>
            <w:vAlign w:val="bottom"/>
          </w:tcPr>
          <w:p>
            <w:pPr>
              <w:spacing w:after="0"/>
              <w:rPr>
                <w:sz w:val="17"/>
                <w:szCs w:val="17"/>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Rande Somma</w:t>
            </w:r>
          </w:p>
        </w:tc>
        <w:tc>
          <w:tcPr>
            <w:tcW w:w="7420" w:type="dxa"/>
            <w:vAlign w:val="bottom"/>
          </w:tcPr>
          <w:p>
            <w:pPr>
              <w:spacing w:after="0"/>
              <w:rPr>
                <w:sz w:val="17"/>
                <w:szCs w:val="17"/>
                <w:color w:val="auto"/>
              </w:rPr>
            </w:pPr>
          </w:p>
        </w:tc>
      </w:tr>
      <w:tr>
        <w:trPr>
          <w:trHeight w:val="353"/>
        </w:trPr>
        <w:tc>
          <w:tcPr>
            <w:tcW w:w="280" w:type="dxa"/>
            <w:vAlign w:val="bottom"/>
          </w:tcPr>
          <w:p>
            <w:pPr>
              <w:spacing w:after="0"/>
              <w:rPr>
                <w:sz w:val="24"/>
                <w:szCs w:val="24"/>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Fred Sotok</w:t>
            </w:r>
          </w:p>
        </w:tc>
        <w:tc>
          <w:tcPr>
            <w:tcW w:w="7420" w:type="dxa"/>
            <w:vAlign w:val="bottom"/>
          </w:tcPr>
          <w:p>
            <w:pPr>
              <w:ind w:left="460"/>
              <w:spacing w:after="0"/>
              <w:rPr>
                <w:sz w:val="20"/>
                <w:szCs w:val="20"/>
                <w:color w:val="auto"/>
              </w:rPr>
            </w:pPr>
            <w:r>
              <w:rPr>
                <w:rFonts w:ascii="Arial" w:cs="Arial" w:eastAsia="Arial" w:hAnsi="Arial"/>
                <w:sz w:val="16"/>
                <w:szCs w:val="16"/>
                <w:color w:val="auto"/>
              </w:rPr>
              <w:t>Director</w:t>
            </w:r>
          </w:p>
        </w:tc>
      </w:tr>
      <w:tr>
        <w:trPr>
          <w:trHeight w:val="198"/>
        </w:trPr>
        <w:tc>
          <w:tcPr>
            <w:tcW w:w="280" w:type="dxa"/>
            <w:vAlign w:val="bottom"/>
          </w:tcPr>
          <w:p>
            <w:pPr>
              <w:spacing w:after="0"/>
              <w:rPr>
                <w:sz w:val="17"/>
                <w:szCs w:val="17"/>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Fred Sotok</w:t>
            </w:r>
          </w:p>
        </w:tc>
        <w:tc>
          <w:tcPr>
            <w:tcW w:w="7420" w:type="dxa"/>
            <w:vAlign w:val="bottom"/>
          </w:tcPr>
          <w:p>
            <w:pPr>
              <w:spacing w:after="0"/>
              <w:rPr>
                <w:sz w:val="17"/>
                <w:szCs w:val="17"/>
                <w:color w:val="auto"/>
              </w:rPr>
            </w:pPr>
          </w:p>
        </w:tc>
      </w:tr>
      <w:tr>
        <w:trPr>
          <w:trHeight w:val="353"/>
        </w:trPr>
        <w:tc>
          <w:tcPr>
            <w:tcW w:w="280" w:type="dxa"/>
            <w:vAlign w:val="bottom"/>
          </w:tcPr>
          <w:p>
            <w:pPr>
              <w:spacing w:after="0"/>
              <w:rPr>
                <w:sz w:val="24"/>
                <w:szCs w:val="24"/>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Wallace Tsuha</w:t>
            </w:r>
          </w:p>
        </w:tc>
        <w:tc>
          <w:tcPr>
            <w:tcW w:w="7420" w:type="dxa"/>
            <w:vAlign w:val="bottom"/>
          </w:tcPr>
          <w:p>
            <w:pPr>
              <w:ind w:left="460"/>
              <w:spacing w:after="0"/>
              <w:rPr>
                <w:sz w:val="20"/>
                <w:szCs w:val="20"/>
                <w:color w:val="auto"/>
              </w:rPr>
            </w:pPr>
            <w:r>
              <w:rPr>
                <w:rFonts w:ascii="Arial" w:cs="Arial" w:eastAsia="Arial" w:hAnsi="Arial"/>
                <w:sz w:val="16"/>
                <w:szCs w:val="16"/>
                <w:color w:val="auto"/>
              </w:rPr>
              <w:t>Director</w:t>
            </w:r>
          </w:p>
        </w:tc>
      </w:tr>
      <w:tr>
        <w:trPr>
          <w:trHeight w:val="198"/>
        </w:trPr>
        <w:tc>
          <w:tcPr>
            <w:tcW w:w="280" w:type="dxa"/>
            <w:vAlign w:val="bottom"/>
          </w:tcPr>
          <w:p>
            <w:pPr>
              <w:spacing w:after="0"/>
              <w:rPr>
                <w:sz w:val="17"/>
                <w:szCs w:val="17"/>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Wallace Tsuha</w:t>
            </w:r>
          </w:p>
        </w:tc>
        <w:tc>
          <w:tcPr>
            <w:tcW w:w="7420" w:type="dxa"/>
            <w:vAlign w:val="bottom"/>
          </w:tcPr>
          <w:p>
            <w:pPr>
              <w:spacing w:after="0"/>
              <w:rPr>
                <w:sz w:val="17"/>
                <w:szCs w:val="17"/>
                <w:color w:val="auto"/>
              </w:rPr>
            </w:pPr>
          </w:p>
        </w:tc>
      </w:tr>
      <w:tr>
        <w:trPr>
          <w:trHeight w:val="353"/>
        </w:trPr>
        <w:tc>
          <w:tcPr>
            <w:tcW w:w="280" w:type="dxa"/>
            <w:vAlign w:val="bottom"/>
          </w:tcPr>
          <w:p>
            <w:pPr>
              <w:spacing w:after="0"/>
              <w:rPr>
                <w:sz w:val="24"/>
                <w:szCs w:val="24"/>
                <w:color w:val="auto"/>
              </w:rPr>
            </w:pP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James Wallace</w:t>
            </w:r>
          </w:p>
        </w:tc>
        <w:tc>
          <w:tcPr>
            <w:tcW w:w="7420" w:type="dxa"/>
            <w:vAlign w:val="bottom"/>
          </w:tcPr>
          <w:p>
            <w:pPr>
              <w:ind w:left="460"/>
              <w:spacing w:after="0"/>
              <w:rPr>
                <w:sz w:val="20"/>
                <w:szCs w:val="20"/>
                <w:color w:val="auto"/>
              </w:rPr>
            </w:pPr>
            <w:r>
              <w:rPr>
                <w:rFonts w:ascii="Arial" w:cs="Arial" w:eastAsia="Arial" w:hAnsi="Arial"/>
                <w:sz w:val="16"/>
                <w:szCs w:val="16"/>
                <w:color w:val="auto"/>
              </w:rPr>
              <w:t>Director</w:t>
            </w:r>
          </w:p>
        </w:tc>
      </w:tr>
      <w:tr>
        <w:trPr>
          <w:trHeight w:val="198"/>
        </w:trPr>
        <w:tc>
          <w:tcPr>
            <w:tcW w:w="280" w:type="dxa"/>
            <w:vAlign w:val="bottom"/>
          </w:tcPr>
          <w:p>
            <w:pPr>
              <w:spacing w:after="0"/>
              <w:rPr>
                <w:sz w:val="17"/>
                <w:szCs w:val="17"/>
                <w:color w:val="auto"/>
              </w:rPr>
            </w:pPr>
          </w:p>
        </w:tc>
        <w:tc>
          <w:tcPr>
            <w:tcW w:w="3740" w:type="dxa"/>
            <w:vAlign w:val="bottom"/>
          </w:tcPr>
          <w:p>
            <w:pPr>
              <w:ind w:left="20"/>
              <w:spacing w:after="0"/>
              <w:rPr>
                <w:sz w:val="20"/>
                <w:szCs w:val="20"/>
                <w:color w:val="auto"/>
              </w:rPr>
            </w:pPr>
            <w:r>
              <w:rPr>
                <w:rFonts w:ascii="Arial" w:cs="Arial" w:eastAsia="Arial" w:hAnsi="Arial"/>
                <w:sz w:val="16"/>
                <w:szCs w:val="16"/>
                <w:color w:val="auto"/>
              </w:rPr>
              <w:t>James Wallace</w:t>
            </w:r>
          </w:p>
        </w:tc>
        <w:tc>
          <w:tcPr>
            <w:tcW w:w="7420" w:type="dxa"/>
            <w:vAlign w:val="bottom"/>
          </w:tcPr>
          <w:p>
            <w:pPr>
              <w:spacing w:after="0"/>
              <w:rPr>
                <w:sz w:val="17"/>
                <w:szCs w:val="17"/>
                <w:color w:val="auto"/>
              </w:rPr>
            </w:pPr>
          </w:p>
        </w:tc>
      </w:tr>
      <w:tr>
        <w:trPr>
          <w:trHeight w:val="693"/>
        </w:trPr>
        <w:tc>
          <w:tcPr>
            <w:tcW w:w="2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7420" w:type="dxa"/>
            <w:vAlign w:val="bottom"/>
          </w:tcPr>
          <w:p>
            <w:pPr>
              <w:ind w:left="280"/>
              <w:spacing w:after="0"/>
              <w:rPr>
                <w:sz w:val="20"/>
                <w:szCs w:val="20"/>
                <w:color w:val="auto"/>
              </w:rPr>
            </w:pPr>
            <w:r>
              <w:rPr>
                <w:rFonts w:ascii="Arial" w:cs="Arial" w:eastAsia="Arial" w:hAnsi="Arial"/>
                <w:sz w:val="16"/>
                <w:szCs w:val="16"/>
                <w:color w:val="auto"/>
              </w:rPr>
              <w:t>- 28 -</w:t>
            </w:r>
          </w:p>
        </w:tc>
      </w:tr>
      <w:tr>
        <w:trPr>
          <w:trHeight w:val="191"/>
        </w:trPr>
        <w:tc>
          <w:tcPr>
            <w:tcW w:w="280" w:type="dxa"/>
            <w:vAlign w:val="bottom"/>
            <w:tcBorders>
              <w:bottom w:val="single" w:sz="8" w:color="808080"/>
            </w:tcBorders>
          </w:tcPr>
          <w:p>
            <w:pPr>
              <w:spacing w:after="0"/>
              <w:rPr>
                <w:sz w:val="16"/>
                <w:szCs w:val="16"/>
                <w:color w:val="auto"/>
              </w:rPr>
            </w:pPr>
          </w:p>
        </w:tc>
        <w:tc>
          <w:tcPr>
            <w:tcW w:w="3740" w:type="dxa"/>
            <w:vAlign w:val="bottom"/>
            <w:tcBorders>
              <w:bottom w:val="single" w:sz="8" w:color="808080"/>
            </w:tcBorders>
          </w:tcPr>
          <w:p>
            <w:pPr>
              <w:spacing w:after="0"/>
              <w:rPr>
                <w:sz w:val="16"/>
                <w:szCs w:val="16"/>
                <w:color w:val="auto"/>
              </w:rPr>
            </w:pPr>
          </w:p>
        </w:tc>
        <w:tc>
          <w:tcPr>
            <w:tcW w:w="74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91" w:right="21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ind w:left="280" w:right="3499" w:firstLine="1963"/>
        <w:spacing w:after="0" w:line="464" w:lineRule="auto"/>
        <w:rPr>
          <w:sz w:val="20"/>
          <w:szCs w:val="20"/>
          <w:color w:val="auto"/>
        </w:rPr>
      </w:pPr>
      <w:r>
        <w:rPr>
          <w:rFonts w:ascii="Arial" w:cs="Arial" w:eastAsia="Arial" w:hAnsi="Arial"/>
          <w:sz w:val="16"/>
          <w:szCs w:val="16"/>
          <w:b w:val="1"/>
          <w:bCs w:val="1"/>
          <w:color w:val="auto"/>
        </w:rPr>
        <w:t xml:space="preserve">Report of Independent Registered Public Accounting Firm </w:t>
      </w:r>
      <w:r>
        <w:rPr>
          <w:rFonts w:ascii="Arial" w:cs="Arial" w:eastAsia="Arial" w:hAnsi="Arial"/>
          <w:sz w:val="16"/>
          <w:szCs w:val="16"/>
          <w:color w:val="auto"/>
        </w:rPr>
        <w:t>The Board of Directors and Shareholders of Gentex Corporation:</w:t>
      </w:r>
    </w:p>
    <w:p>
      <w:pPr>
        <w:spacing w:after="0" w:line="1" w:lineRule="exact"/>
        <w:rPr>
          <w:sz w:val="20"/>
          <w:szCs w:val="20"/>
          <w:color w:val="auto"/>
        </w:rPr>
      </w:pPr>
    </w:p>
    <w:p>
      <w:pPr>
        <w:ind w:left="280" w:right="1779"/>
        <w:spacing w:after="0" w:line="241" w:lineRule="auto"/>
        <w:rPr>
          <w:sz w:val="20"/>
          <w:szCs w:val="20"/>
          <w:color w:val="auto"/>
        </w:rPr>
      </w:pPr>
      <w:r>
        <w:rPr>
          <w:rFonts w:ascii="Arial" w:cs="Arial" w:eastAsia="Arial" w:hAnsi="Arial"/>
          <w:sz w:val="16"/>
          <w:szCs w:val="16"/>
          <w:color w:val="auto"/>
        </w:rPr>
        <w:t>We have audited the accompanying consolidated balance sheets of Gentex Corporation and subsidiaries as of December 31, 2009 and 2008, and the related consolidated statements of income, shareholders’ investment and cash flows for each of the three years in the period ended December 31, 2009. These financial statements are the responsibility of the Company’s management. Our responsibility is to express an opinion on these financial statements based on our audits.</w:t>
      </w:r>
    </w:p>
    <w:p>
      <w:pPr>
        <w:spacing w:after="0" w:line="145" w:lineRule="exact"/>
        <w:rPr>
          <w:sz w:val="20"/>
          <w:szCs w:val="20"/>
          <w:color w:val="auto"/>
        </w:rPr>
      </w:pPr>
    </w:p>
    <w:p>
      <w:pPr>
        <w:ind w:left="280" w:right="1739"/>
        <w:spacing w:after="0"/>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managements, as well as evaluating the overall financial statement presentation. We believe that our audits provide a reasonable basis for our opinion.</w:t>
      </w:r>
    </w:p>
    <w:p>
      <w:pPr>
        <w:spacing w:after="0" w:line="160" w:lineRule="exact"/>
        <w:rPr>
          <w:sz w:val="20"/>
          <w:szCs w:val="20"/>
          <w:color w:val="auto"/>
        </w:rPr>
      </w:pPr>
    </w:p>
    <w:p>
      <w:pPr>
        <w:ind w:left="280" w:right="1579"/>
        <w:spacing w:after="0" w:line="242"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Gentex Corporation and subsidiaries as of December 31, 2009 and 2008, and the consolidated results of their operations and their cash flows for each of the three years in the period ended December 31, 2009, in conformity with U.S. generally accepted accounting principles.</w:t>
      </w:r>
    </w:p>
    <w:p>
      <w:pPr>
        <w:spacing w:after="0" w:line="145" w:lineRule="exact"/>
        <w:rPr>
          <w:sz w:val="20"/>
          <w:szCs w:val="20"/>
          <w:color w:val="auto"/>
        </w:rPr>
      </w:pPr>
    </w:p>
    <w:p>
      <w:pPr>
        <w:ind w:left="280" w:right="1579"/>
        <w:spacing w:after="0" w:line="242"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Stated), Gentex Corporation’s internal control over financial reporting as of December 31, 2009, based on criteria established in Internal Control — Integrated Framework issued by the Committee of Sponsoring Organizations of the Treadway Commission and our report dated February 23, 2010 expressed an unqualified opinion thereon.</w:t>
      </w:r>
    </w:p>
    <w:p>
      <w:pPr>
        <w:spacing w:after="0" w:line="145"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/s/ Ernst &amp; Young LLP</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Grand Rapids, Michigan</w:t>
      </w:r>
    </w:p>
    <w:p>
      <w:pPr>
        <w:ind w:left="280"/>
        <w:spacing w:after="0"/>
        <w:rPr>
          <w:sz w:val="20"/>
          <w:szCs w:val="20"/>
          <w:color w:val="auto"/>
        </w:rPr>
      </w:pPr>
      <w:r>
        <w:rPr>
          <w:rFonts w:ascii="Arial" w:cs="Arial" w:eastAsia="Arial" w:hAnsi="Arial"/>
          <w:sz w:val="16"/>
          <w:szCs w:val="16"/>
          <w:color w:val="auto"/>
        </w:rPr>
        <w:t>February 23, 2010</w:t>
      </w:r>
    </w:p>
    <w:p>
      <w:pPr>
        <w:spacing w:after="0" w:line="200" w:lineRule="exact"/>
        <w:rPr>
          <w:sz w:val="20"/>
          <w:szCs w:val="20"/>
          <w:color w:val="auto"/>
        </w:rPr>
      </w:pPr>
    </w:p>
    <w:p>
      <w:pPr>
        <w:spacing w:after="0" w:line="296"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8"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color w:val="auto"/>
        </w:rPr>
        <w:t>On Internal Control Over Financial Reporting</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Board of Directors and Shareholders of Gentex Corporation:</w:t>
      </w:r>
    </w:p>
    <w:p>
      <w:pPr>
        <w:spacing w:after="0" w:line="156" w:lineRule="exact"/>
        <w:rPr>
          <w:sz w:val="20"/>
          <w:szCs w:val="20"/>
          <w:color w:val="auto"/>
        </w:rPr>
      </w:pPr>
    </w:p>
    <w:p>
      <w:pPr>
        <w:ind w:left="280" w:right="1639"/>
        <w:spacing w:after="0"/>
        <w:rPr>
          <w:sz w:val="20"/>
          <w:szCs w:val="20"/>
          <w:color w:val="auto"/>
        </w:rPr>
      </w:pPr>
      <w:r>
        <w:rPr>
          <w:rFonts w:ascii="Arial" w:cs="Arial" w:eastAsia="Arial" w:hAnsi="Arial"/>
          <w:sz w:val="16"/>
          <w:szCs w:val="16"/>
          <w:color w:val="auto"/>
        </w:rPr>
        <w:t>We have audited Gentex Corporation’s internal control over financial reporting as of December 31, 2009, based on criteria established in Internal Control — Integrated Framework issued by the Committee of Sponsoring Organizations of the Treadway Commission (the COSO criteria). Gentex Corporation’s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146" w:lineRule="exact"/>
        <w:rPr>
          <w:sz w:val="20"/>
          <w:szCs w:val="20"/>
          <w:color w:val="auto"/>
        </w:rPr>
      </w:pPr>
    </w:p>
    <w:p>
      <w:pPr>
        <w:ind w:left="280" w:right="1679"/>
        <w:spacing w:after="0"/>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58" w:lineRule="exact"/>
        <w:rPr>
          <w:sz w:val="20"/>
          <w:szCs w:val="20"/>
          <w:color w:val="auto"/>
        </w:rPr>
      </w:pPr>
    </w:p>
    <w:p>
      <w:pPr>
        <w:ind w:left="280" w:right="1659"/>
        <w:spacing w:after="0" w:line="239"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48" w:lineRule="exact"/>
        <w:rPr>
          <w:sz w:val="20"/>
          <w:szCs w:val="20"/>
          <w:color w:val="auto"/>
        </w:rPr>
      </w:pPr>
    </w:p>
    <w:p>
      <w:pPr>
        <w:jc w:val="both"/>
        <w:ind w:left="280" w:right="1599"/>
        <w:spacing w:after="0" w:line="242"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ind w:left="280" w:right="2119"/>
        <w:spacing w:after="0" w:line="251" w:lineRule="auto"/>
        <w:rPr>
          <w:sz w:val="20"/>
          <w:szCs w:val="20"/>
          <w:color w:val="auto"/>
        </w:rPr>
      </w:pPr>
      <w:r>
        <w:rPr>
          <w:rFonts w:ascii="Arial" w:cs="Arial" w:eastAsia="Arial" w:hAnsi="Arial"/>
          <w:sz w:val="16"/>
          <w:szCs w:val="16"/>
          <w:color w:val="auto"/>
        </w:rPr>
        <w:t>In our opinion, Gentex Corporation maintained, in all material respects, effective internal control over financial reporting as of December 31, 2009, based on the COSO criteria.</w:t>
      </w:r>
    </w:p>
    <w:p>
      <w:pPr>
        <w:spacing w:after="0" w:line="150" w:lineRule="exact"/>
        <w:rPr>
          <w:sz w:val="20"/>
          <w:szCs w:val="20"/>
          <w:color w:val="auto"/>
        </w:rPr>
      </w:pPr>
    </w:p>
    <w:p>
      <w:pPr>
        <w:ind w:left="280" w:right="1619"/>
        <w:spacing w:after="0" w:line="241" w:lineRule="auto"/>
        <w:rPr>
          <w:sz w:val="20"/>
          <w:szCs w:val="20"/>
          <w:color w:val="auto"/>
        </w:rPr>
      </w:pPr>
      <w:r>
        <w:rPr>
          <w:rFonts w:ascii="Arial" w:cs="Arial" w:eastAsia="Arial" w:hAnsi="Arial"/>
          <w:sz w:val="16"/>
          <w:szCs w:val="16"/>
          <w:color w:val="auto"/>
        </w:rPr>
        <w:t>We also have audited, in accordance with standards of the Public Company Accounting Oversight Board (United States), the consolidated balance sheets of Gentex Corporation as of December 31, 2009 and 2008, and the related consolidated statements of income, shareholders’ investment, and cash flows for each of the three years in the period ended December 31, 2009 of Gentex Corporation and our report dated February 23, 2010 expressed an unqualified opinion thereon.</w:t>
      </w:r>
    </w:p>
    <w:p>
      <w:pPr>
        <w:spacing w:after="0" w:line="145" w:lineRule="exact"/>
        <w:rPr>
          <w:sz w:val="20"/>
          <w:szCs w:val="20"/>
          <w:color w:val="auto"/>
        </w:rPr>
      </w:pPr>
    </w:p>
    <w:p>
      <w:pPr>
        <w:jc w:val="center"/>
        <w:ind w:right="-340"/>
        <w:spacing w:after="0"/>
        <w:rPr>
          <w:sz w:val="20"/>
          <w:szCs w:val="20"/>
          <w:color w:val="auto"/>
        </w:rPr>
      </w:pPr>
      <w:r>
        <w:rPr>
          <w:rFonts w:ascii="Arial" w:cs="Arial" w:eastAsia="Arial" w:hAnsi="Arial"/>
          <w:sz w:val="16"/>
          <w:szCs w:val="16"/>
          <w:color w:val="auto"/>
        </w:rPr>
        <w:t>/s/ Ernst &amp; Young LLP</w:t>
      </w:r>
    </w:p>
    <w:p>
      <w:pPr>
        <w:spacing w:after="0" w:line="15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Grand Rapids, Michigan</w:t>
      </w:r>
    </w:p>
    <w:p>
      <w:pPr>
        <w:ind w:left="280"/>
        <w:spacing w:after="0"/>
        <w:rPr>
          <w:sz w:val="20"/>
          <w:szCs w:val="20"/>
          <w:color w:val="auto"/>
        </w:rPr>
      </w:pPr>
      <w:r>
        <w:rPr>
          <w:rFonts w:ascii="Arial" w:cs="Arial" w:eastAsia="Arial" w:hAnsi="Arial"/>
          <w:sz w:val="16"/>
          <w:szCs w:val="16"/>
          <w:color w:val="auto"/>
        </w:rPr>
        <w:t>February 23, 2010</w:t>
      </w:r>
    </w:p>
    <w:p>
      <w:pPr>
        <w:spacing w:after="0" w:line="200" w:lineRule="exact"/>
        <w:rPr>
          <w:sz w:val="20"/>
          <w:szCs w:val="20"/>
          <w:color w:val="auto"/>
        </w:rPr>
      </w:pPr>
    </w:p>
    <w:p>
      <w:pPr>
        <w:spacing w:after="0" w:line="30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4"/>
        </w:trPr>
        <w:tc>
          <w:tcPr>
            <w:tcW w:w="6140" w:type="dxa"/>
            <w:vAlign w:val="bottom"/>
            <w:gridSpan w:val="8"/>
          </w:tcPr>
          <w:p>
            <w:pPr>
              <w:spacing w:after="0"/>
              <w:rPr>
                <w:rFonts w:ascii="Arial" w:cs="Arial" w:eastAsia="Arial" w:hAnsi="Arial"/>
                <w:sz w:val="16"/>
                <w:szCs w:val="16"/>
                <w:b w:val="1"/>
                <w:bCs w:val="1"/>
                <w:color w:val="0000EE"/>
              </w:rPr>
            </w:pPr>
            <w:hyperlink w:anchor="page4">
              <w:r>
                <w:rPr>
                  <w:rFonts w:ascii="Arial" w:cs="Arial" w:eastAsia="Arial" w:hAnsi="Arial"/>
                  <w:sz w:val="16"/>
                  <w:szCs w:val="16"/>
                  <w:b w:val="1"/>
                  <w:bCs w:val="1"/>
                  <w:color w:val="0000EE"/>
                </w:rPr>
                <w:t>Table of Contents</w:t>
              </w:r>
            </w:hyperlink>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442"/>
        </w:trPr>
        <w:tc>
          <w:tcPr>
            <w:tcW w:w="280" w:type="dxa"/>
            <w:vAlign w:val="bottom"/>
            <w:tcBorders>
              <w:top w:val="single" w:sz="8" w:color="0000EE"/>
            </w:tcBorders>
          </w:tcPr>
          <w:p>
            <w:pPr>
              <w:spacing w:after="0"/>
              <w:rPr>
                <w:sz w:val="24"/>
                <w:szCs w:val="24"/>
                <w:color w:val="auto"/>
              </w:rPr>
            </w:pPr>
          </w:p>
        </w:tc>
        <w:tc>
          <w:tcPr>
            <w:tcW w:w="920" w:type="dxa"/>
            <w:vAlign w:val="bottom"/>
            <w:tcBorders>
              <w:top w:val="single" w:sz="8" w:color="0000EE"/>
            </w:tcBorders>
          </w:tcPr>
          <w:p>
            <w:pPr>
              <w:spacing w:after="0"/>
              <w:rPr>
                <w:sz w:val="24"/>
                <w:szCs w:val="24"/>
                <w:color w:val="auto"/>
              </w:rPr>
            </w:pPr>
          </w:p>
        </w:tc>
        <w:tc>
          <w:tcPr>
            <w:tcW w:w="1560" w:type="dxa"/>
            <w:vAlign w:val="bottom"/>
          </w:tcPr>
          <w:p>
            <w:pPr>
              <w:spacing w:after="0"/>
              <w:rPr>
                <w:sz w:val="24"/>
                <w:szCs w:val="24"/>
                <w:color w:val="auto"/>
              </w:rPr>
            </w:pPr>
          </w:p>
        </w:tc>
        <w:tc>
          <w:tcPr>
            <w:tcW w:w="3480" w:type="dxa"/>
            <w:vAlign w:val="bottom"/>
            <w:gridSpan w:val="7"/>
          </w:tcPr>
          <w:p>
            <w:pPr>
              <w:jc w:val="center"/>
              <w:ind w:right="20"/>
              <w:spacing w:after="0"/>
              <w:rPr>
                <w:sz w:val="20"/>
                <w:szCs w:val="20"/>
                <w:color w:val="auto"/>
              </w:rPr>
            </w:pPr>
            <w:r>
              <w:rPr>
                <w:rFonts w:ascii="Arial" w:cs="Arial" w:eastAsia="Arial" w:hAnsi="Arial"/>
                <w:sz w:val="16"/>
                <w:szCs w:val="16"/>
                <w:color w:val="auto"/>
              </w:rPr>
              <w:t>GENTEX CORPORATION AND SUBSIDIARIES</w:t>
            </w: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32"/>
        </w:trPr>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gridSpan w:val="3"/>
          </w:tcPr>
          <w:p>
            <w:pPr>
              <w:jc w:val="center"/>
              <w:ind w:right="280"/>
              <w:spacing w:after="0"/>
              <w:rPr>
                <w:sz w:val="20"/>
                <w:szCs w:val="20"/>
                <w:color w:val="auto"/>
              </w:rPr>
            </w:pPr>
            <w:r>
              <w:rPr>
                <w:rFonts w:ascii="Arial" w:cs="Arial" w:eastAsia="Arial" w:hAnsi="Arial"/>
                <w:sz w:val="16"/>
                <w:szCs w:val="16"/>
                <w:color w:val="auto"/>
              </w:rPr>
              <w:t>CONSOLIDATED BALANCE SHEETS</w:t>
            </w:r>
          </w:p>
        </w:tc>
        <w:tc>
          <w:tcPr>
            <w:tcW w:w="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20"/>
        </w:trPr>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3380" w:type="dxa"/>
            <w:vAlign w:val="bottom"/>
            <w:gridSpan w:val="5"/>
          </w:tcPr>
          <w:p>
            <w:pPr>
              <w:jc w:val="center"/>
              <w:spacing w:after="0"/>
              <w:rPr>
                <w:sz w:val="20"/>
                <w:szCs w:val="20"/>
                <w:color w:val="auto"/>
              </w:rPr>
            </w:pPr>
            <w:r>
              <w:rPr>
                <w:rFonts w:ascii="Arial" w:cs="Arial" w:eastAsia="Arial" w:hAnsi="Arial"/>
                <w:sz w:val="16"/>
                <w:szCs w:val="16"/>
                <w:color w:val="auto"/>
              </w:rPr>
              <w:t>AS OF DECEMBER 31, 2009 AND 2008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9"/>
        </w:trPr>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7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2009</w:t>
            </w:r>
          </w:p>
        </w:tc>
        <w:tc>
          <w:tcPr>
            <w:tcW w:w="3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2008</w:t>
            </w:r>
          </w:p>
        </w:tc>
        <w:tc>
          <w:tcPr>
            <w:tcW w:w="80" w:type="dxa"/>
            <w:vAlign w:val="bottom"/>
          </w:tcPr>
          <w:p>
            <w:pPr>
              <w:spacing w:after="0"/>
              <w:rPr>
                <w:sz w:val="24"/>
                <w:szCs w:val="24"/>
                <w:color w:val="auto"/>
              </w:rPr>
            </w:pPr>
          </w:p>
        </w:tc>
      </w:tr>
      <w:tr>
        <w:trPr>
          <w:trHeight w:val="174"/>
        </w:trPr>
        <w:tc>
          <w:tcPr>
            <w:tcW w:w="280" w:type="dxa"/>
            <w:vAlign w:val="bottom"/>
          </w:tcPr>
          <w:p>
            <w:pPr>
              <w:spacing w:after="0"/>
              <w:rPr>
                <w:sz w:val="15"/>
                <w:szCs w:val="15"/>
                <w:color w:val="auto"/>
              </w:rPr>
            </w:pPr>
          </w:p>
        </w:tc>
        <w:tc>
          <w:tcPr>
            <w:tcW w:w="5860" w:type="dxa"/>
            <w:vAlign w:val="bottom"/>
            <w:gridSpan w:val="7"/>
            <w:shd w:val="clear" w:color="auto" w:fill="CCEEFF"/>
          </w:tcPr>
          <w:p>
            <w:pPr>
              <w:ind w:left="20"/>
              <w:spacing w:after="0" w:line="175" w:lineRule="exact"/>
              <w:rPr>
                <w:sz w:val="20"/>
                <w:szCs w:val="20"/>
                <w:color w:val="auto"/>
              </w:rPr>
            </w:pPr>
            <w:r>
              <w:rPr>
                <w:rFonts w:ascii="Arial" w:cs="Arial" w:eastAsia="Arial" w:hAnsi="Arial"/>
                <w:sz w:val="16"/>
                <w:szCs w:val="16"/>
                <w:color w:val="auto"/>
              </w:rPr>
              <w:t>ASSETS</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365"/>
        </w:trPr>
        <w:tc>
          <w:tcPr>
            <w:tcW w:w="280" w:type="dxa"/>
            <w:vAlign w:val="bottom"/>
          </w:tcPr>
          <w:p>
            <w:pPr>
              <w:spacing w:after="0"/>
              <w:rPr>
                <w:sz w:val="24"/>
                <w:szCs w:val="24"/>
                <w:color w:val="auto"/>
              </w:rPr>
            </w:pPr>
          </w:p>
        </w:tc>
        <w:tc>
          <w:tcPr>
            <w:tcW w:w="5860" w:type="dxa"/>
            <w:vAlign w:val="bottom"/>
            <w:gridSpan w:val="7"/>
          </w:tcPr>
          <w:p>
            <w:pPr>
              <w:ind w:left="20"/>
              <w:spacing w:after="0"/>
              <w:rPr>
                <w:sz w:val="20"/>
                <w:szCs w:val="20"/>
                <w:color w:val="auto"/>
              </w:rPr>
            </w:pPr>
            <w:r>
              <w:rPr>
                <w:rFonts w:ascii="Arial" w:cs="Arial" w:eastAsia="Arial" w:hAnsi="Arial"/>
                <w:sz w:val="16"/>
                <w:szCs w:val="16"/>
                <w:color w:val="auto"/>
              </w:rPr>
              <w:t>CURRENT ASSETS: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2"/>
        </w:trPr>
        <w:tc>
          <w:tcPr>
            <w:tcW w:w="280" w:type="dxa"/>
            <w:vAlign w:val="bottom"/>
          </w:tcPr>
          <w:p>
            <w:pPr>
              <w:spacing w:after="0"/>
              <w:rPr>
                <w:sz w:val="15"/>
                <w:szCs w:val="15"/>
                <w:color w:val="auto"/>
              </w:rPr>
            </w:pPr>
          </w:p>
        </w:tc>
        <w:tc>
          <w:tcPr>
            <w:tcW w:w="5860" w:type="dxa"/>
            <w:vAlign w:val="bottom"/>
            <w:gridSpan w:val="7"/>
            <w:shd w:val="clear" w:color="auto" w:fill="CCEEFF"/>
          </w:tcPr>
          <w:p>
            <w:pPr>
              <w:ind w:left="200"/>
              <w:spacing w:after="0" w:line="182" w:lineRule="exact"/>
              <w:rPr>
                <w:sz w:val="20"/>
                <w:szCs w:val="20"/>
                <w:color w:val="auto"/>
              </w:rPr>
            </w:pPr>
            <w:r>
              <w:rPr>
                <w:rFonts w:ascii="Arial" w:cs="Arial" w:eastAsia="Arial" w:hAnsi="Arial"/>
                <w:sz w:val="16"/>
                <w:szCs w:val="16"/>
                <w:color w:val="auto"/>
              </w:rPr>
              <w:t>Cash and cash equivalents</w:t>
            </w:r>
          </w:p>
        </w:tc>
        <w:tc>
          <w:tcPr>
            <w:tcW w:w="1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336,108,446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294,306,512</w:t>
            </w:r>
          </w:p>
        </w:tc>
      </w:tr>
      <w:tr>
        <w:trPr>
          <w:trHeight w:val="182"/>
        </w:trPr>
        <w:tc>
          <w:tcPr>
            <w:tcW w:w="280" w:type="dxa"/>
            <w:vAlign w:val="bottom"/>
          </w:tcPr>
          <w:p>
            <w:pPr>
              <w:spacing w:after="0"/>
              <w:rPr>
                <w:sz w:val="15"/>
                <w:szCs w:val="15"/>
                <w:color w:val="auto"/>
              </w:rPr>
            </w:pPr>
          </w:p>
        </w:tc>
        <w:tc>
          <w:tcPr>
            <w:tcW w:w="5860" w:type="dxa"/>
            <w:vAlign w:val="bottom"/>
            <w:gridSpan w:val="7"/>
          </w:tcPr>
          <w:p>
            <w:pPr>
              <w:ind w:left="200"/>
              <w:spacing w:after="0" w:line="182" w:lineRule="exact"/>
              <w:rPr>
                <w:sz w:val="20"/>
                <w:szCs w:val="20"/>
                <w:color w:val="auto"/>
              </w:rPr>
            </w:pPr>
            <w:r>
              <w:rPr>
                <w:rFonts w:ascii="Arial" w:cs="Arial" w:eastAsia="Arial" w:hAnsi="Arial"/>
                <w:sz w:val="16"/>
                <w:szCs w:val="16"/>
                <w:color w:val="auto"/>
              </w:rPr>
              <w:t>Short-term investments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17,123,647</w:t>
            </w:r>
          </w:p>
        </w:tc>
        <w:tc>
          <w:tcPr>
            <w:tcW w:w="100" w:type="dxa"/>
            <w:vAlign w:val="bottom"/>
          </w:tcPr>
          <w:p>
            <w:pPr>
              <w:spacing w:after="0"/>
              <w:rPr>
                <w:sz w:val="15"/>
                <w:szCs w:val="15"/>
                <w:color w:val="auto"/>
              </w:rPr>
            </w:pPr>
          </w:p>
        </w:tc>
        <w:tc>
          <w:tcPr>
            <w:tcW w:w="1040" w:type="dxa"/>
            <w:vAlign w:val="bottom"/>
            <w:gridSpan w:val="2"/>
          </w:tcPr>
          <w:p>
            <w:pPr>
              <w:jc w:val="right"/>
              <w:ind w:right="80"/>
              <w:spacing w:after="0" w:line="182" w:lineRule="exact"/>
              <w:rPr>
                <w:sz w:val="20"/>
                <w:szCs w:val="20"/>
                <w:color w:val="auto"/>
              </w:rPr>
            </w:pPr>
            <w:r>
              <w:rPr>
                <w:rFonts w:ascii="Arial" w:cs="Arial" w:eastAsia="Arial" w:hAnsi="Arial"/>
                <w:sz w:val="16"/>
                <w:szCs w:val="16"/>
                <w:color w:val="auto"/>
              </w:rPr>
              <w:t>29,177,273</w:t>
            </w:r>
          </w:p>
        </w:tc>
      </w:tr>
      <w:tr>
        <w:trPr>
          <w:trHeight w:val="182"/>
        </w:trPr>
        <w:tc>
          <w:tcPr>
            <w:tcW w:w="280" w:type="dxa"/>
            <w:vAlign w:val="bottom"/>
          </w:tcPr>
          <w:p>
            <w:pPr>
              <w:spacing w:after="0"/>
              <w:rPr>
                <w:sz w:val="15"/>
                <w:szCs w:val="15"/>
                <w:color w:val="auto"/>
              </w:rPr>
            </w:pPr>
          </w:p>
        </w:tc>
        <w:tc>
          <w:tcPr>
            <w:tcW w:w="5860" w:type="dxa"/>
            <w:vAlign w:val="bottom"/>
            <w:gridSpan w:val="7"/>
            <w:shd w:val="clear" w:color="auto" w:fill="CCEEFF"/>
          </w:tcPr>
          <w:p>
            <w:pPr>
              <w:ind w:left="200"/>
              <w:spacing w:after="0" w:line="182" w:lineRule="exact"/>
              <w:rPr>
                <w:sz w:val="20"/>
                <w:szCs w:val="20"/>
                <w:color w:val="auto"/>
              </w:rPr>
            </w:pPr>
            <w:r>
              <w:rPr>
                <w:rFonts w:ascii="Arial" w:cs="Arial" w:eastAsia="Arial" w:hAnsi="Arial"/>
                <w:sz w:val="16"/>
                <w:szCs w:val="16"/>
                <w:color w:val="auto"/>
              </w:rPr>
              <w:t>Accounts receivable</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71,159,512</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44,528,810</w:t>
            </w:r>
          </w:p>
        </w:tc>
      </w:tr>
      <w:tr>
        <w:trPr>
          <w:trHeight w:val="182"/>
        </w:trPr>
        <w:tc>
          <w:tcPr>
            <w:tcW w:w="280" w:type="dxa"/>
            <w:vAlign w:val="bottom"/>
          </w:tcPr>
          <w:p>
            <w:pPr>
              <w:spacing w:after="0"/>
              <w:rPr>
                <w:sz w:val="15"/>
                <w:szCs w:val="15"/>
                <w:color w:val="auto"/>
              </w:rPr>
            </w:pPr>
          </w:p>
        </w:tc>
        <w:tc>
          <w:tcPr>
            <w:tcW w:w="5860" w:type="dxa"/>
            <w:vAlign w:val="bottom"/>
            <w:gridSpan w:val="7"/>
          </w:tcPr>
          <w:p>
            <w:pPr>
              <w:ind w:left="200"/>
              <w:spacing w:after="0" w:line="182" w:lineRule="exact"/>
              <w:rPr>
                <w:sz w:val="20"/>
                <w:szCs w:val="20"/>
                <w:color w:val="auto"/>
              </w:rPr>
            </w:pPr>
            <w:r>
              <w:rPr>
                <w:rFonts w:ascii="Arial" w:cs="Arial" w:eastAsia="Arial" w:hAnsi="Arial"/>
                <w:sz w:val="16"/>
                <w:szCs w:val="16"/>
                <w:color w:val="auto"/>
              </w:rPr>
              <w:t>Inventories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53,608,996</w:t>
            </w:r>
          </w:p>
        </w:tc>
        <w:tc>
          <w:tcPr>
            <w:tcW w:w="100" w:type="dxa"/>
            <w:vAlign w:val="bottom"/>
          </w:tcPr>
          <w:p>
            <w:pPr>
              <w:spacing w:after="0"/>
              <w:rPr>
                <w:sz w:val="15"/>
                <w:szCs w:val="15"/>
                <w:color w:val="auto"/>
              </w:rPr>
            </w:pPr>
          </w:p>
        </w:tc>
        <w:tc>
          <w:tcPr>
            <w:tcW w:w="1040" w:type="dxa"/>
            <w:vAlign w:val="bottom"/>
            <w:gridSpan w:val="2"/>
          </w:tcPr>
          <w:p>
            <w:pPr>
              <w:jc w:val="right"/>
              <w:ind w:right="80"/>
              <w:spacing w:after="0" w:line="182" w:lineRule="exact"/>
              <w:rPr>
                <w:sz w:val="20"/>
                <w:szCs w:val="20"/>
                <w:color w:val="auto"/>
              </w:rPr>
            </w:pPr>
            <w:r>
              <w:rPr>
                <w:rFonts w:ascii="Arial" w:cs="Arial" w:eastAsia="Arial" w:hAnsi="Arial"/>
                <w:sz w:val="16"/>
                <w:szCs w:val="16"/>
                <w:color w:val="auto"/>
              </w:rPr>
              <w:t>54,993,855</w:t>
            </w:r>
          </w:p>
        </w:tc>
      </w:tr>
      <w:tr>
        <w:trPr>
          <w:trHeight w:val="182"/>
        </w:trPr>
        <w:tc>
          <w:tcPr>
            <w:tcW w:w="280" w:type="dxa"/>
            <w:vAlign w:val="bottom"/>
          </w:tcPr>
          <w:p>
            <w:pPr>
              <w:spacing w:after="0"/>
              <w:rPr>
                <w:sz w:val="15"/>
                <w:szCs w:val="15"/>
                <w:color w:val="auto"/>
              </w:rPr>
            </w:pPr>
          </w:p>
        </w:tc>
        <w:tc>
          <w:tcPr>
            <w:tcW w:w="5860" w:type="dxa"/>
            <w:vAlign w:val="bottom"/>
            <w:gridSpan w:val="7"/>
            <w:shd w:val="clear" w:color="auto" w:fill="CCEEFF"/>
          </w:tcPr>
          <w:p>
            <w:pPr>
              <w:ind w:left="200"/>
              <w:spacing w:after="0" w:line="182" w:lineRule="exact"/>
              <w:rPr>
                <w:sz w:val="20"/>
                <w:szCs w:val="20"/>
                <w:color w:val="auto"/>
              </w:rPr>
            </w:pPr>
            <w:r>
              <w:rPr>
                <w:rFonts w:ascii="Arial" w:cs="Arial" w:eastAsia="Arial" w:hAnsi="Arial"/>
                <w:sz w:val="16"/>
                <w:szCs w:val="16"/>
                <w:color w:val="auto"/>
              </w:rPr>
              <w:t>Prepaid expenses and other</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27,412,894</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34,145,509</w:t>
            </w:r>
          </w:p>
        </w:tc>
      </w:tr>
      <w:tr>
        <w:trPr>
          <w:trHeight w:val="20"/>
        </w:trPr>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0"/>
        </w:trPr>
        <w:tc>
          <w:tcPr>
            <w:tcW w:w="280" w:type="dxa"/>
            <w:vAlign w:val="bottom"/>
          </w:tcPr>
          <w:p>
            <w:pPr>
              <w:spacing w:after="0"/>
              <w:rPr>
                <w:sz w:val="24"/>
                <w:szCs w:val="24"/>
                <w:color w:val="auto"/>
              </w:rPr>
            </w:pPr>
          </w:p>
        </w:tc>
        <w:tc>
          <w:tcPr>
            <w:tcW w:w="5860" w:type="dxa"/>
            <w:vAlign w:val="bottom"/>
            <w:gridSpan w:val="7"/>
          </w:tcPr>
          <w:p>
            <w:pPr>
              <w:ind w:left="380"/>
              <w:spacing w:after="0"/>
              <w:rPr>
                <w:sz w:val="20"/>
                <w:szCs w:val="20"/>
                <w:color w:val="auto"/>
              </w:rPr>
            </w:pPr>
            <w:r>
              <w:rPr>
                <w:rFonts w:ascii="Arial" w:cs="Arial" w:eastAsia="Arial" w:hAnsi="Arial"/>
                <w:sz w:val="16"/>
                <w:szCs w:val="16"/>
                <w:color w:val="auto"/>
              </w:rPr>
              <w:t>Total current assets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505,413,495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457,151,959</w:t>
            </w:r>
          </w:p>
        </w:tc>
      </w:tr>
      <w:tr>
        <w:trPr>
          <w:trHeight w:val="171"/>
        </w:trPr>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2"/>
        </w:trPr>
        <w:tc>
          <w:tcPr>
            <w:tcW w:w="280" w:type="dxa"/>
            <w:vAlign w:val="bottom"/>
          </w:tcPr>
          <w:p>
            <w:pPr>
              <w:spacing w:after="0"/>
              <w:rPr>
                <w:sz w:val="15"/>
                <w:szCs w:val="15"/>
                <w:color w:val="auto"/>
              </w:rPr>
            </w:pPr>
          </w:p>
        </w:tc>
        <w:tc>
          <w:tcPr>
            <w:tcW w:w="5860" w:type="dxa"/>
            <w:vAlign w:val="bottom"/>
            <w:gridSpan w:val="7"/>
            <w:shd w:val="clear" w:color="auto" w:fill="CCEEFF"/>
          </w:tcPr>
          <w:p>
            <w:pPr>
              <w:ind w:left="20"/>
              <w:spacing w:after="0" w:line="182" w:lineRule="exact"/>
              <w:rPr>
                <w:sz w:val="20"/>
                <w:szCs w:val="20"/>
                <w:color w:val="auto"/>
              </w:rPr>
            </w:pPr>
            <w:r>
              <w:rPr>
                <w:rFonts w:ascii="Arial" w:cs="Arial" w:eastAsia="Arial" w:hAnsi="Arial"/>
                <w:sz w:val="16"/>
                <w:szCs w:val="16"/>
                <w:color w:val="auto"/>
              </w:rPr>
              <w:t>PLANT AND EQUIPMENT: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5860" w:type="dxa"/>
            <w:vAlign w:val="bottom"/>
            <w:gridSpan w:val="7"/>
          </w:tcPr>
          <w:p>
            <w:pPr>
              <w:ind w:left="200"/>
              <w:spacing w:after="0" w:line="182" w:lineRule="exact"/>
              <w:rPr>
                <w:sz w:val="20"/>
                <w:szCs w:val="20"/>
                <w:color w:val="auto"/>
              </w:rPr>
            </w:pPr>
            <w:r>
              <w:rPr>
                <w:rFonts w:ascii="Arial" w:cs="Arial" w:eastAsia="Arial" w:hAnsi="Arial"/>
                <w:sz w:val="16"/>
                <w:szCs w:val="16"/>
                <w:color w:val="auto"/>
              </w:rPr>
              <w:t>Land, buildings and improvements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112,276,501</w:t>
            </w:r>
          </w:p>
        </w:tc>
        <w:tc>
          <w:tcPr>
            <w:tcW w:w="100" w:type="dxa"/>
            <w:vAlign w:val="bottom"/>
          </w:tcPr>
          <w:p>
            <w:pPr>
              <w:spacing w:after="0"/>
              <w:rPr>
                <w:sz w:val="15"/>
                <w:szCs w:val="15"/>
                <w:color w:val="auto"/>
              </w:rPr>
            </w:pPr>
          </w:p>
        </w:tc>
        <w:tc>
          <w:tcPr>
            <w:tcW w:w="1040" w:type="dxa"/>
            <w:vAlign w:val="bottom"/>
            <w:gridSpan w:val="2"/>
          </w:tcPr>
          <w:p>
            <w:pPr>
              <w:jc w:val="right"/>
              <w:ind w:right="80"/>
              <w:spacing w:after="0" w:line="182" w:lineRule="exact"/>
              <w:rPr>
                <w:sz w:val="20"/>
                <w:szCs w:val="20"/>
                <w:color w:val="auto"/>
              </w:rPr>
            </w:pPr>
            <w:r>
              <w:rPr>
                <w:rFonts w:ascii="Arial" w:cs="Arial" w:eastAsia="Arial" w:hAnsi="Arial"/>
                <w:sz w:val="16"/>
                <w:szCs w:val="16"/>
                <w:color w:val="auto"/>
              </w:rPr>
              <w:t>111,240,060</w:t>
            </w:r>
          </w:p>
        </w:tc>
      </w:tr>
      <w:tr>
        <w:trPr>
          <w:trHeight w:val="182"/>
        </w:trPr>
        <w:tc>
          <w:tcPr>
            <w:tcW w:w="280" w:type="dxa"/>
            <w:vAlign w:val="bottom"/>
          </w:tcPr>
          <w:p>
            <w:pPr>
              <w:spacing w:after="0"/>
              <w:rPr>
                <w:sz w:val="15"/>
                <w:szCs w:val="15"/>
                <w:color w:val="auto"/>
              </w:rPr>
            </w:pPr>
          </w:p>
        </w:tc>
        <w:tc>
          <w:tcPr>
            <w:tcW w:w="5860" w:type="dxa"/>
            <w:vAlign w:val="bottom"/>
            <w:gridSpan w:val="7"/>
            <w:shd w:val="clear" w:color="auto" w:fill="CCEEFF"/>
          </w:tcPr>
          <w:p>
            <w:pPr>
              <w:ind w:left="200"/>
              <w:spacing w:after="0" w:line="182" w:lineRule="exact"/>
              <w:rPr>
                <w:sz w:val="20"/>
                <w:szCs w:val="20"/>
                <w:color w:val="auto"/>
              </w:rPr>
            </w:pPr>
            <w:r>
              <w:rPr>
                <w:rFonts w:ascii="Arial" w:cs="Arial" w:eastAsia="Arial" w:hAnsi="Arial"/>
                <w:sz w:val="16"/>
                <w:szCs w:val="16"/>
                <w:color w:val="auto"/>
              </w:rPr>
              <w:t>Machinery and equipment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327,554,073</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306,301,187</w:t>
            </w:r>
          </w:p>
        </w:tc>
      </w:tr>
      <w:tr>
        <w:trPr>
          <w:trHeight w:val="182"/>
        </w:trPr>
        <w:tc>
          <w:tcPr>
            <w:tcW w:w="280" w:type="dxa"/>
            <w:vAlign w:val="bottom"/>
          </w:tcPr>
          <w:p>
            <w:pPr>
              <w:spacing w:after="0"/>
              <w:rPr>
                <w:sz w:val="15"/>
                <w:szCs w:val="15"/>
                <w:color w:val="auto"/>
              </w:rPr>
            </w:pPr>
          </w:p>
        </w:tc>
        <w:tc>
          <w:tcPr>
            <w:tcW w:w="5860" w:type="dxa"/>
            <w:vAlign w:val="bottom"/>
            <w:gridSpan w:val="7"/>
          </w:tcPr>
          <w:p>
            <w:pPr>
              <w:ind w:left="200"/>
              <w:spacing w:after="0" w:line="182" w:lineRule="exact"/>
              <w:rPr>
                <w:sz w:val="20"/>
                <w:szCs w:val="20"/>
                <w:color w:val="auto"/>
              </w:rPr>
            </w:pPr>
            <w:r>
              <w:rPr>
                <w:rFonts w:ascii="Arial" w:cs="Arial" w:eastAsia="Arial" w:hAnsi="Arial"/>
                <w:sz w:val="16"/>
                <w:szCs w:val="16"/>
                <w:color w:val="auto"/>
              </w:rPr>
              <w:t>Construction-in-process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6,973,175</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80"/>
              <w:spacing w:after="0" w:line="182" w:lineRule="exact"/>
              <w:rPr>
                <w:sz w:val="20"/>
                <w:szCs w:val="20"/>
                <w:color w:val="auto"/>
              </w:rPr>
            </w:pPr>
            <w:r>
              <w:rPr>
                <w:rFonts w:ascii="Arial" w:cs="Arial" w:eastAsia="Arial" w:hAnsi="Arial"/>
                <w:sz w:val="16"/>
                <w:szCs w:val="16"/>
                <w:color w:val="auto"/>
              </w:rPr>
              <w:t>12,807,041</w:t>
            </w:r>
          </w:p>
        </w:tc>
      </w:tr>
      <w:tr>
        <w:trPr>
          <w:trHeight w:val="24"/>
        </w:trPr>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2"/>
        </w:trPr>
        <w:tc>
          <w:tcPr>
            <w:tcW w:w="280" w:type="dxa"/>
            <w:vAlign w:val="bottom"/>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446,803,749</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430,348,288</w:t>
            </w:r>
          </w:p>
        </w:tc>
      </w:tr>
      <w:tr>
        <w:trPr>
          <w:trHeight w:val="365"/>
        </w:trPr>
        <w:tc>
          <w:tcPr>
            <w:tcW w:w="280" w:type="dxa"/>
            <w:vAlign w:val="bottom"/>
          </w:tcPr>
          <w:p>
            <w:pPr>
              <w:spacing w:after="0"/>
              <w:rPr>
                <w:sz w:val="24"/>
                <w:szCs w:val="24"/>
                <w:color w:val="auto"/>
              </w:rPr>
            </w:pPr>
          </w:p>
        </w:tc>
        <w:tc>
          <w:tcPr>
            <w:tcW w:w="5860" w:type="dxa"/>
            <w:vAlign w:val="bottom"/>
            <w:gridSpan w:val="7"/>
          </w:tcPr>
          <w:p>
            <w:pPr>
              <w:ind w:left="200"/>
              <w:spacing w:after="0"/>
              <w:rPr>
                <w:sz w:val="20"/>
                <w:szCs w:val="20"/>
                <w:color w:val="auto"/>
              </w:rPr>
            </w:pPr>
            <w:r>
              <w:rPr>
                <w:rFonts w:ascii="Arial" w:cs="Arial" w:eastAsia="Arial" w:hAnsi="Arial"/>
                <w:sz w:val="16"/>
                <w:szCs w:val="16"/>
                <w:color w:val="auto"/>
              </w:rPr>
              <w:t>Less-Accumulated depreciation and amortization</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6"/>
                <w:szCs w:val="16"/>
                <w:color w:val="auto"/>
              </w:rPr>
              <w:t>(249,273,500)</w:t>
            </w:r>
          </w:p>
        </w:tc>
        <w:tc>
          <w:tcPr>
            <w:tcW w:w="10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(215,396,569)</w:t>
            </w:r>
          </w:p>
        </w:tc>
      </w:tr>
      <w:tr>
        <w:trPr>
          <w:trHeight w:val="187"/>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2"/>
        </w:trPr>
        <w:tc>
          <w:tcPr>
            <w:tcW w:w="280" w:type="dxa"/>
            <w:vAlign w:val="bottom"/>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197,530,249</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214,951,719</w:t>
            </w:r>
          </w:p>
        </w:tc>
      </w:tr>
      <w:tr>
        <w:trPr>
          <w:trHeight w:val="365"/>
        </w:trPr>
        <w:tc>
          <w:tcPr>
            <w:tcW w:w="280" w:type="dxa"/>
            <w:vAlign w:val="bottom"/>
          </w:tcPr>
          <w:p>
            <w:pPr>
              <w:spacing w:after="0"/>
              <w:rPr>
                <w:sz w:val="24"/>
                <w:szCs w:val="24"/>
                <w:color w:val="auto"/>
              </w:rPr>
            </w:pPr>
          </w:p>
        </w:tc>
        <w:tc>
          <w:tcPr>
            <w:tcW w:w="5860" w:type="dxa"/>
            <w:vAlign w:val="bottom"/>
            <w:gridSpan w:val="7"/>
          </w:tcPr>
          <w:p>
            <w:pPr>
              <w:ind w:left="20"/>
              <w:spacing w:after="0"/>
              <w:rPr>
                <w:sz w:val="20"/>
                <w:szCs w:val="20"/>
                <w:color w:val="auto"/>
              </w:rPr>
            </w:pPr>
            <w:r>
              <w:rPr>
                <w:rFonts w:ascii="Arial" w:cs="Arial" w:eastAsia="Arial" w:hAnsi="Arial"/>
                <w:sz w:val="16"/>
                <w:szCs w:val="16"/>
                <w:color w:val="auto"/>
              </w:rPr>
              <w:t>OTHER ASSETS: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2"/>
        </w:trPr>
        <w:tc>
          <w:tcPr>
            <w:tcW w:w="280" w:type="dxa"/>
            <w:vAlign w:val="bottom"/>
          </w:tcPr>
          <w:p>
            <w:pPr>
              <w:spacing w:after="0"/>
              <w:rPr>
                <w:sz w:val="15"/>
                <w:szCs w:val="15"/>
                <w:color w:val="auto"/>
              </w:rPr>
            </w:pPr>
          </w:p>
        </w:tc>
        <w:tc>
          <w:tcPr>
            <w:tcW w:w="5860" w:type="dxa"/>
            <w:vAlign w:val="bottom"/>
            <w:gridSpan w:val="7"/>
            <w:shd w:val="clear" w:color="auto" w:fill="CCEEFF"/>
          </w:tcPr>
          <w:p>
            <w:pPr>
              <w:ind w:left="200"/>
              <w:spacing w:after="0" w:line="182" w:lineRule="exact"/>
              <w:rPr>
                <w:sz w:val="20"/>
                <w:szCs w:val="20"/>
                <w:color w:val="auto"/>
              </w:rPr>
            </w:pPr>
            <w:r>
              <w:rPr>
                <w:rFonts w:ascii="Arial" w:cs="Arial" w:eastAsia="Arial" w:hAnsi="Arial"/>
                <w:sz w:val="16"/>
                <w:szCs w:val="16"/>
                <w:color w:val="auto"/>
              </w:rPr>
              <w:t>Long-term investments</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109,155,248</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81,348,942</w:t>
            </w:r>
          </w:p>
        </w:tc>
      </w:tr>
      <w:tr>
        <w:trPr>
          <w:trHeight w:val="182"/>
        </w:trPr>
        <w:tc>
          <w:tcPr>
            <w:tcW w:w="280" w:type="dxa"/>
            <w:vAlign w:val="bottom"/>
          </w:tcPr>
          <w:p>
            <w:pPr>
              <w:spacing w:after="0"/>
              <w:rPr>
                <w:sz w:val="15"/>
                <w:szCs w:val="15"/>
                <w:color w:val="auto"/>
              </w:rPr>
            </w:pPr>
          </w:p>
        </w:tc>
        <w:tc>
          <w:tcPr>
            <w:tcW w:w="5860" w:type="dxa"/>
            <w:vAlign w:val="bottom"/>
            <w:gridSpan w:val="7"/>
          </w:tcPr>
          <w:p>
            <w:pPr>
              <w:ind w:left="200"/>
              <w:spacing w:after="0" w:line="182" w:lineRule="exact"/>
              <w:rPr>
                <w:sz w:val="20"/>
                <w:szCs w:val="20"/>
                <w:color w:val="auto"/>
              </w:rPr>
            </w:pPr>
            <w:r>
              <w:rPr>
                <w:rFonts w:ascii="Arial" w:cs="Arial" w:eastAsia="Arial" w:hAnsi="Arial"/>
                <w:sz w:val="16"/>
                <w:szCs w:val="16"/>
                <w:color w:val="auto"/>
              </w:rPr>
              <w:t>Patents and other assets, net</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6"/>
                <w:szCs w:val="16"/>
                <w:color w:val="auto"/>
              </w:rPr>
              <w:t>10,504,497</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80"/>
              <w:spacing w:after="0" w:line="182" w:lineRule="exact"/>
              <w:rPr>
                <w:sz w:val="20"/>
                <w:szCs w:val="20"/>
                <w:color w:val="auto"/>
              </w:rPr>
            </w:pPr>
            <w:r>
              <w:rPr>
                <w:rFonts w:ascii="Arial" w:cs="Arial" w:eastAsia="Arial" w:hAnsi="Arial"/>
                <w:sz w:val="16"/>
                <w:szCs w:val="16"/>
                <w:color w:val="auto"/>
              </w:rPr>
              <w:t>9,650,760</w:t>
            </w:r>
          </w:p>
        </w:tc>
      </w:tr>
      <w:tr>
        <w:trPr>
          <w:trHeight w:val="24"/>
        </w:trPr>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82"/>
        </w:trPr>
        <w:tc>
          <w:tcPr>
            <w:tcW w:w="280" w:type="dxa"/>
            <w:vAlign w:val="bottom"/>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119,659,745</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90,999,702</w:t>
            </w:r>
          </w:p>
        </w:tc>
      </w:tr>
      <w:tr>
        <w:trPr>
          <w:trHeight w:val="20"/>
        </w:trPr>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9"/>
        </w:trPr>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822,603,489</w:t>
            </w:r>
          </w:p>
        </w:tc>
        <w:tc>
          <w:tcPr>
            <w:tcW w:w="32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763,103,380</w:t>
            </w:r>
          </w:p>
        </w:tc>
      </w:tr>
      <w:tr>
        <w:trPr>
          <w:trHeight w:val="20"/>
        </w:trPr>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1"/>
        </w:trPr>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2"/>
        </w:trPr>
        <w:tc>
          <w:tcPr>
            <w:tcW w:w="280" w:type="dxa"/>
            <w:vAlign w:val="bottom"/>
          </w:tcPr>
          <w:p>
            <w:pPr>
              <w:spacing w:after="0"/>
              <w:rPr>
                <w:sz w:val="15"/>
                <w:szCs w:val="15"/>
                <w:color w:val="auto"/>
              </w:rPr>
            </w:pPr>
          </w:p>
        </w:tc>
        <w:tc>
          <w:tcPr>
            <w:tcW w:w="5860" w:type="dxa"/>
            <w:vAlign w:val="bottom"/>
            <w:gridSpan w:val="7"/>
            <w:shd w:val="clear" w:color="auto" w:fill="CCEEFF"/>
          </w:tcPr>
          <w:p>
            <w:pPr>
              <w:ind w:left="20"/>
              <w:spacing w:after="0" w:line="182" w:lineRule="exact"/>
              <w:rPr>
                <w:sz w:val="20"/>
                <w:szCs w:val="20"/>
                <w:color w:val="auto"/>
              </w:rPr>
            </w:pPr>
            <w:r>
              <w:rPr>
                <w:rFonts w:ascii="Arial" w:cs="Arial" w:eastAsia="Arial" w:hAnsi="Arial"/>
                <w:sz w:val="16"/>
                <w:szCs w:val="16"/>
                <w:color w:val="auto"/>
              </w:rPr>
              <w:t>LIABILITIES AND SHAREHOLDERS’ INVESTMENT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365"/>
        </w:trPr>
        <w:tc>
          <w:tcPr>
            <w:tcW w:w="280" w:type="dxa"/>
            <w:vAlign w:val="bottom"/>
          </w:tcPr>
          <w:p>
            <w:pPr>
              <w:spacing w:after="0"/>
              <w:rPr>
                <w:sz w:val="24"/>
                <w:szCs w:val="24"/>
                <w:color w:val="auto"/>
              </w:rPr>
            </w:pPr>
          </w:p>
        </w:tc>
        <w:tc>
          <w:tcPr>
            <w:tcW w:w="5860" w:type="dxa"/>
            <w:vAlign w:val="bottom"/>
            <w:gridSpan w:val="7"/>
          </w:tcPr>
          <w:p>
            <w:pPr>
              <w:ind w:left="20"/>
              <w:spacing w:after="0"/>
              <w:rPr>
                <w:sz w:val="20"/>
                <w:szCs w:val="20"/>
                <w:color w:val="auto"/>
              </w:rPr>
            </w:pPr>
            <w:r>
              <w:rPr>
                <w:rFonts w:ascii="Arial" w:cs="Arial" w:eastAsia="Arial" w:hAnsi="Arial"/>
                <w:sz w:val="16"/>
                <w:szCs w:val="16"/>
                <w:color w:val="auto"/>
              </w:rPr>
              <w:t>CURRENT LIABILITIES: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2"/>
        </w:trPr>
        <w:tc>
          <w:tcPr>
            <w:tcW w:w="280" w:type="dxa"/>
            <w:vAlign w:val="bottom"/>
          </w:tcPr>
          <w:p>
            <w:pPr>
              <w:spacing w:after="0"/>
              <w:rPr>
                <w:sz w:val="15"/>
                <w:szCs w:val="15"/>
                <w:color w:val="auto"/>
              </w:rPr>
            </w:pPr>
          </w:p>
        </w:tc>
        <w:tc>
          <w:tcPr>
            <w:tcW w:w="5860" w:type="dxa"/>
            <w:vAlign w:val="bottom"/>
            <w:gridSpan w:val="7"/>
            <w:shd w:val="clear" w:color="auto" w:fill="CCEEFF"/>
          </w:tcPr>
          <w:p>
            <w:pPr>
              <w:ind w:left="200"/>
              <w:spacing w:after="0" w:line="182" w:lineRule="exact"/>
              <w:rPr>
                <w:sz w:val="20"/>
                <w:szCs w:val="20"/>
                <w:color w:val="auto"/>
              </w:rPr>
            </w:pPr>
            <w:r>
              <w:rPr>
                <w:rFonts w:ascii="Arial" w:cs="Arial" w:eastAsia="Arial" w:hAnsi="Arial"/>
                <w:sz w:val="16"/>
                <w:szCs w:val="16"/>
                <w:color w:val="auto"/>
              </w:rPr>
              <w:t>Accounts payable</w:t>
            </w:r>
          </w:p>
        </w:tc>
        <w:tc>
          <w:tcPr>
            <w:tcW w:w="1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27,456,747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19,706,159</w:t>
            </w:r>
          </w:p>
        </w:tc>
      </w:tr>
      <w:tr>
        <w:trPr>
          <w:trHeight w:val="182"/>
        </w:trPr>
        <w:tc>
          <w:tcPr>
            <w:tcW w:w="280" w:type="dxa"/>
            <w:vAlign w:val="bottom"/>
          </w:tcPr>
          <w:p>
            <w:pPr>
              <w:spacing w:after="0"/>
              <w:rPr>
                <w:sz w:val="15"/>
                <w:szCs w:val="15"/>
                <w:color w:val="auto"/>
              </w:rPr>
            </w:pPr>
          </w:p>
        </w:tc>
        <w:tc>
          <w:tcPr>
            <w:tcW w:w="5860" w:type="dxa"/>
            <w:vAlign w:val="bottom"/>
            <w:gridSpan w:val="7"/>
          </w:tcPr>
          <w:p>
            <w:pPr>
              <w:ind w:left="200"/>
              <w:spacing w:after="0" w:line="182" w:lineRule="exact"/>
              <w:rPr>
                <w:sz w:val="20"/>
                <w:szCs w:val="20"/>
                <w:color w:val="auto"/>
              </w:rPr>
            </w:pPr>
            <w:r>
              <w:rPr>
                <w:rFonts w:ascii="Arial" w:cs="Arial" w:eastAsia="Arial" w:hAnsi="Arial"/>
                <w:sz w:val="16"/>
                <w:szCs w:val="16"/>
                <w:color w:val="auto"/>
              </w:rPr>
              <w:t>Accrued liabilities: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5860" w:type="dxa"/>
            <w:vAlign w:val="bottom"/>
            <w:gridSpan w:val="7"/>
            <w:shd w:val="clear" w:color="auto" w:fill="CCEEFF"/>
          </w:tcPr>
          <w:p>
            <w:pPr>
              <w:ind w:left="380"/>
              <w:spacing w:after="0" w:line="182" w:lineRule="exact"/>
              <w:rPr>
                <w:sz w:val="20"/>
                <w:szCs w:val="20"/>
                <w:color w:val="auto"/>
              </w:rPr>
            </w:pPr>
            <w:r>
              <w:rPr>
                <w:rFonts w:ascii="Arial" w:cs="Arial" w:eastAsia="Arial" w:hAnsi="Arial"/>
                <w:sz w:val="16"/>
                <w:szCs w:val="16"/>
                <w:color w:val="auto"/>
              </w:rPr>
              <w:t>Salaries, wages and vacation</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4,674,854</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5,001,952</w:t>
            </w:r>
          </w:p>
        </w:tc>
      </w:tr>
      <w:tr>
        <w:trPr>
          <w:trHeight w:val="182"/>
        </w:trPr>
        <w:tc>
          <w:tcPr>
            <w:tcW w:w="280" w:type="dxa"/>
            <w:vAlign w:val="bottom"/>
          </w:tcPr>
          <w:p>
            <w:pPr>
              <w:spacing w:after="0"/>
              <w:rPr>
                <w:sz w:val="15"/>
                <w:szCs w:val="15"/>
                <w:color w:val="auto"/>
              </w:rPr>
            </w:pPr>
          </w:p>
        </w:tc>
        <w:tc>
          <w:tcPr>
            <w:tcW w:w="5860" w:type="dxa"/>
            <w:vAlign w:val="bottom"/>
            <w:gridSpan w:val="7"/>
          </w:tcPr>
          <w:p>
            <w:pPr>
              <w:ind w:left="380"/>
              <w:spacing w:after="0" w:line="182" w:lineRule="exact"/>
              <w:rPr>
                <w:sz w:val="20"/>
                <w:szCs w:val="20"/>
                <w:color w:val="auto"/>
              </w:rPr>
            </w:pPr>
            <w:r>
              <w:rPr>
                <w:rFonts w:ascii="Arial" w:cs="Arial" w:eastAsia="Arial" w:hAnsi="Arial"/>
                <w:sz w:val="16"/>
                <w:szCs w:val="16"/>
                <w:color w:val="auto"/>
              </w:rPr>
              <w:t>Income taxes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3,766,593</w:t>
            </w:r>
          </w:p>
        </w:tc>
        <w:tc>
          <w:tcPr>
            <w:tcW w:w="100" w:type="dxa"/>
            <w:vAlign w:val="bottom"/>
          </w:tcPr>
          <w:p>
            <w:pPr>
              <w:spacing w:after="0"/>
              <w:rPr>
                <w:sz w:val="15"/>
                <w:szCs w:val="15"/>
                <w:color w:val="auto"/>
              </w:rPr>
            </w:pPr>
          </w:p>
        </w:tc>
        <w:tc>
          <w:tcPr>
            <w:tcW w:w="1040" w:type="dxa"/>
            <w:vAlign w:val="bottom"/>
            <w:gridSpan w:val="2"/>
          </w:tcPr>
          <w:p>
            <w:pPr>
              <w:jc w:val="right"/>
              <w:ind w:right="80"/>
              <w:spacing w:after="0" w:line="182" w:lineRule="exact"/>
              <w:rPr>
                <w:sz w:val="20"/>
                <w:szCs w:val="20"/>
                <w:color w:val="auto"/>
              </w:rPr>
            </w:pPr>
            <w:r>
              <w:rPr>
                <w:rFonts w:ascii="Arial" w:cs="Arial" w:eastAsia="Arial" w:hAnsi="Arial"/>
                <w:sz w:val="16"/>
                <w:szCs w:val="16"/>
                <w:color w:val="auto"/>
              </w:rPr>
              <w:t>—</w:t>
            </w:r>
          </w:p>
        </w:tc>
      </w:tr>
      <w:tr>
        <w:trPr>
          <w:trHeight w:val="182"/>
        </w:trPr>
        <w:tc>
          <w:tcPr>
            <w:tcW w:w="280" w:type="dxa"/>
            <w:vAlign w:val="bottom"/>
          </w:tcPr>
          <w:p>
            <w:pPr>
              <w:spacing w:after="0"/>
              <w:rPr>
                <w:sz w:val="15"/>
                <w:szCs w:val="15"/>
                <w:color w:val="auto"/>
              </w:rPr>
            </w:pPr>
          </w:p>
        </w:tc>
        <w:tc>
          <w:tcPr>
            <w:tcW w:w="5860" w:type="dxa"/>
            <w:vAlign w:val="bottom"/>
            <w:gridSpan w:val="7"/>
            <w:shd w:val="clear" w:color="auto" w:fill="CCEEFF"/>
          </w:tcPr>
          <w:p>
            <w:pPr>
              <w:ind w:left="380"/>
              <w:spacing w:after="0" w:line="182" w:lineRule="exact"/>
              <w:rPr>
                <w:sz w:val="20"/>
                <w:szCs w:val="20"/>
                <w:color w:val="auto"/>
              </w:rPr>
            </w:pPr>
            <w:r>
              <w:rPr>
                <w:rFonts w:ascii="Arial" w:cs="Arial" w:eastAsia="Arial" w:hAnsi="Arial"/>
                <w:sz w:val="16"/>
                <w:szCs w:val="16"/>
                <w:color w:val="auto"/>
              </w:rPr>
              <w:t>Royalties</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3,130,274</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1,722,138</w:t>
            </w:r>
          </w:p>
        </w:tc>
      </w:tr>
      <w:tr>
        <w:trPr>
          <w:trHeight w:val="182"/>
        </w:trPr>
        <w:tc>
          <w:tcPr>
            <w:tcW w:w="280" w:type="dxa"/>
            <w:vAlign w:val="bottom"/>
          </w:tcPr>
          <w:p>
            <w:pPr>
              <w:spacing w:after="0"/>
              <w:rPr>
                <w:sz w:val="15"/>
                <w:szCs w:val="15"/>
                <w:color w:val="auto"/>
              </w:rPr>
            </w:pPr>
          </w:p>
        </w:tc>
        <w:tc>
          <w:tcPr>
            <w:tcW w:w="5860" w:type="dxa"/>
            <w:vAlign w:val="bottom"/>
            <w:gridSpan w:val="7"/>
          </w:tcPr>
          <w:p>
            <w:pPr>
              <w:ind w:left="380"/>
              <w:spacing w:after="0" w:line="182" w:lineRule="exact"/>
              <w:rPr>
                <w:sz w:val="20"/>
                <w:szCs w:val="20"/>
                <w:color w:val="auto"/>
              </w:rPr>
            </w:pPr>
            <w:r>
              <w:rPr>
                <w:rFonts w:ascii="Arial" w:cs="Arial" w:eastAsia="Arial" w:hAnsi="Arial"/>
                <w:sz w:val="16"/>
                <w:szCs w:val="16"/>
                <w:color w:val="auto"/>
              </w:rPr>
              <w:t>Dividends declared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15,217,332</w:t>
            </w:r>
          </w:p>
        </w:tc>
        <w:tc>
          <w:tcPr>
            <w:tcW w:w="100" w:type="dxa"/>
            <w:vAlign w:val="bottom"/>
          </w:tcPr>
          <w:p>
            <w:pPr>
              <w:spacing w:after="0"/>
              <w:rPr>
                <w:sz w:val="15"/>
                <w:szCs w:val="15"/>
                <w:color w:val="auto"/>
              </w:rPr>
            </w:pPr>
          </w:p>
        </w:tc>
        <w:tc>
          <w:tcPr>
            <w:tcW w:w="1040" w:type="dxa"/>
            <w:vAlign w:val="bottom"/>
            <w:gridSpan w:val="2"/>
          </w:tcPr>
          <w:p>
            <w:pPr>
              <w:jc w:val="right"/>
              <w:ind w:right="80"/>
              <w:spacing w:after="0" w:line="182" w:lineRule="exact"/>
              <w:rPr>
                <w:sz w:val="20"/>
                <w:szCs w:val="20"/>
                <w:color w:val="auto"/>
              </w:rPr>
            </w:pPr>
            <w:r>
              <w:rPr>
                <w:rFonts w:ascii="Arial" w:cs="Arial" w:eastAsia="Arial" w:hAnsi="Arial"/>
                <w:sz w:val="16"/>
                <w:szCs w:val="16"/>
                <w:color w:val="auto"/>
              </w:rPr>
              <w:t>15,139,685</w:t>
            </w:r>
          </w:p>
        </w:tc>
      </w:tr>
      <w:tr>
        <w:trPr>
          <w:trHeight w:val="182"/>
        </w:trPr>
        <w:tc>
          <w:tcPr>
            <w:tcW w:w="280" w:type="dxa"/>
            <w:vAlign w:val="bottom"/>
          </w:tcPr>
          <w:p>
            <w:pPr>
              <w:spacing w:after="0"/>
              <w:rPr>
                <w:sz w:val="15"/>
                <w:szCs w:val="15"/>
                <w:color w:val="auto"/>
              </w:rPr>
            </w:pPr>
          </w:p>
        </w:tc>
        <w:tc>
          <w:tcPr>
            <w:tcW w:w="5860" w:type="dxa"/>
            <w:vAlign w:val="bottom"/>
            <w:gridSpan w:val="7"/>
            <w:shd w:val="clear" w:color="auto" w:fill="CCEEFF"/>
          </w:tcPr>
          <w:p>
            <w:pPr>
              <w:ind w:left="380"/>
              <w:spacing w:after="0" w:line="182" w:lineRule="exact"/>
              <w:rPr>
                <w:sz w:val="20"/>
                <w:szCs w:val="20"/>
                <w:color w:val="auto"/>
              </w:rPr>
            </w:pPr>
            <w:r>
              <w:rPr>
                <w:rFonts w:ascii="Arial" w:cs="Arial" w:eastAsia="Arial" w:hAnsi="Arial"/>
                <w:sz w:val="16"/>
                <w:szCs w:val="16"/>
                <w:color w:val="auto"/>
              </w:rPr>
              <w:t>Other</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4,391,978</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7,902,504</w:t>
            </w:r>
          </w:p>
        </w:tc>
      </w:tr>
      <w:tr>
        <w:trPr>
          <w:trHeight w:val="20"/>
        </w:trPr>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80"/>
        </w:trPr>
        <w:tc>
          <w:tcPr>
            <w:tcW w:w="280" w:type="dxa"/>
            <w:vAlign w:val="bottom"/>
          </w:tcPr>
          <w:p>
            <w:pPr>
              <w:spacing w:after="0"/>
              <w:rPr>
                <w:sz w:val="24"/>
                <w:szCs w:val="24"/>
                <w:color w:val="auto"/>
              </w:rPr>
            </w:pPr>
          </w:p>
        </w:tc>
        <w:tc>
          <w:tcPr>
            <w:tcW w:w="5860" w:type="dxa"/>
            <w:vAlign w:val="bottom"/>
            <w:gridSpan w:val="7"/>
          </w:tcPr>
          <w:p>
            <w:pPr>
              <w:ind w:left="560"/>
              <w:spacing w:after="0"/>
              <w:rPr>
                <w:sz w:val="20"/>
                <w:szCs w:val="20"/>
                <w:color w:val="auto"/>
              </w:rPr>
            </w:pPr>
            <w:r>
              <w:rPr>
                <w:rFonts w:ascii="Arial" w:cs="Arial" w:eastAsia="Arial" w:hAnsi="Arial"/>
                <w:sz w:val="16"/>
                <w:szCs w:val="16"/>
                <w:color w:val="auto"/>
              </w:rPr>
              <w:t>Total current liabilities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58,637,778</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49,472,438</w:t>
            </w:r>
          </w:p>
        </w:tc>
      </w:tr>
      <w:tr>
        <w:trPr>
          <w:trHeight w:val="171"/>
        </w:trPr>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2"/>
        </w:trPr>
        <w:tc>
          <w:tcPr>
            <w:tcW w:w="280" w:type="dxa"/>
            <w:vAlign w:val="bottom"/>
          </w:tcPr>
          <w:p>
            <w:pPr>
              <w:spacing w:after="0"/>
              <w:rPr>
                <w:sz w:val="15"/>
                <w:szCs w:val="15"/>
                <w:color w:val="auto"/>
              </w:rPr>
            </w:pPr>
          </w:p>
        </w:tc>
        <w:tc>
          <w:tcPr>
            <w:tcW w:w="5860" w:type="dxa"/>
            <w:vAlign w:val="bottom"/>
            <w:gridSpan w:val="7"/>
            <w:shd w:val="clear" w:color="auto" w:fill="CCEEFF"/>
          </w:tcPr>
          <w:p>
            <w:pPr>
              <w:ind w:left="20"/>
              <w:spacing w:after="0" w:line="182" w:lineRule="exact"/>
              <w:rPr>
                <w:sz w:val="20"/>
                <w:szCs w:val="20"/>
                <w:color w:val="auto"/>
              </w:rPr>
            </w:pPr>
            <w:r>
              <w:rPr>
                <w:rFonts w:ascii="Arial" w:cs="Arial" w:eastAsia="Arial" w:hAnsi="Arial"/>
                <w:sz w:val="16"/>
                <w:szCs w:val="16"/>
                <w:color w:val="auto"/>
              </w:rPr>
              <w:t>DEFERRED INCOME TAXES</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28,036,968</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15,034,620</w:t>
            </w:r>
          </w:p>
        </w:tc>
      </w:tr>
      <w:tr>
        <w:trPr>
          <w:trHeight w:val="365"/>
        </w:trPr>
        <w:tc>
          <w:tcPr>
            <w:tcW w:w="280" w:type="dxa"/>
            <w:vAlign w:val="bottom"/>
          </w:tcPr>
          <w:p>
            <w:pPr>
              <w:spacing w:after="0"/>
              <w:rPr>
                <w:sz w:val="24"/>
                <w:szCs w:val="24"/>
                <w:color w:val="auto"/>
              </w:rPr>
            </w:pPr>
          </w:p>
        </w:tc>
        <w:tc>
          <w:tcPr>
            <w:tcW w:w="5860" w:type="dxa"/>
            <w:vAlign w:val="bottom"/>
            <w:gridSpan w:val="7"/>
          </w:tcPr>
          <w:p>
            <w:pPr>
              <w:ind w:left="20"/>
              <w:spacing w:after="0"/>
              <w:rPr>
                <w:sz w:val="20"/>
                <w:szCs w:val="20"/>
                <w:color w:val="auto"/>
              </w:rPr>
            </w:pPr>
            <w:r>
              <w:rPr>
                <w:rFonts w:ascii="Arial" w:cs="Arial" w:eastAsia="Arial" w:hAnsi="Arial"/>
                <w:sz w:val="16"/>
                <w:szCs w:val="16"/>
                <w:color w:val="auto"/>
              </w:rPr>
              <w:t>SHAREHOLDERS’ INVESTMENT: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1"/>
        </w:trPr>
        <w:tc>
          <w:tcPr>
            <w:tcW w:w="280" w:type="dxa"/>
            <w:vAlign w:val="bottom"/>
          </w:tcPr>
          <w:p>
            <w:pPr>
              <w:spacing w:after="0"/>
              <w:rPr>
                <w:sz w:val="15"/>
                <w:szCs w:val="15"/>
                <w:color w:val="auto"/>
              </w:rPr>
            </w:pPr>
          </w:p>
        </w:tc>
        <w:tc>
          <w:tcPr>
            <w:tcW w:w="5860" w:type="dxa"/>
            <w:vAlign w:val="bottom"/>
            <w:gridSpan w:val="7"/>
            <w:shd w:val="clear" w:color="auto" w:fill="CCEEFF"/>
          </w:tcPr>
          <w:p>
            <w:pPr>
              <w:ind w:left="200"/>
              <w:spacing w:after="0" w:line="181" w:lineRule="exact"/>
              <w:rPr>
                <w:sz w:val="20"/>
                <w:szCs w:val="20"/>
                <w:color w:val="auto"/>
              </w:rPr>
            </w:pPr>
            <w:r>
              <w:rPr>
                <w:rFonts w:ascii="Arial" w:cs="Arial" w:eastAsia="Arial" w:hAnsi="Arial"/>
                <w:sz w:val="16"/>
                <w:szCs w:val="16"/>
                <w:color w:val="auto"/>
              </w:rPr>
              <w:t>Preferred stock, no par value, 5,000,000 shares authorized; none issued or</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5860" w:type="dxa"/>
            <w:vAlign w:val="bottom"/>
            <w:gridSpan w:val="7"/>
            <w:shd w:val="clear" w:color="auto" w:fill="CCEEFF"/>
          </w:tcPr>
          <w:p>
            <w:pPr>
              <w:ind w:left="380"/>
              <w:spacing w:after="0"/>
              <w:rPr>
                <w:sz w:val="20"/>
                <w:szCs w:val="20"/>
                <w:color w:val="auto"/>
              </w:rPr>
            </w:pPr>
            <w:r>
              <w:rPr>
                <w:rFonts w:ascii="Arial" w:cs="Arial" w:eastAsia="Arial" w:hAnsi="Arial"/>
                <w:sz w:val="16"/>
                <w:szCs w:val="16"/>
                <w:color w:val="auto"/>
              </w:rPr>
              <w:t>outstanding</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r>
      <w:tr>
        <w:trPr>
          <w:trHeight w:val="181"/>
        </w:trPr>
        <w:tc>
          <w:tcPr>
            <w:tcW w:w="280" w:type="dxa"/>
            <w:vAlign w:val="bottom"/>
          </w:tcPr>
          <w:p>
            <w:pPr>
              <w:spacing w:after="0"/>
              <w:rPr>
                <w:sz w:val="15"/>
                <w:szCs w:val="15"/>
                <w:color w:val="auto"/>
              </w:rPr>
            </w:pPr>
          </w:p>
        </w:tc>
        <w:tc>
          <w:tcPr>
            <w:tcW w:w="5860" w:type="dxa"/>
            <w:vAlign w:val="bottom"/>
            <w:gridSpan w:val="7"/>
          </w:tcPr>
          <w:p>
            <w:pPr>
              <w:ind w:left="200"/>
              <w:spacing w:after="0" w:line="181" w:lineRule="exact"/>
              <w:rPr>
                <w:sz w:val="20"/>
                <w:szCs w:val="20"/>
                <w:color w:val="auto"/>
              </w:rPr>
            </w:pPr>
            <w:r>
              <w:rPr>
                <w:rFonts w:ascii="Arial" w:cs="Arial" w:eastAsia="Arial" w:hAnsi="Arial"/>
                <w:sz w:val="16"/>
                <w:szCs w:val="16"/>
                <w:color w:val="auto"/>
              </w:rPr>
              <w:t>Common stock, par value $.06 per share; 200,000,000 shares authorized;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5860" w:type="dxa"/>
            <w:vAlign w:val="bottom"/>
            <w:gridSpan w:val="7"/>
          </w:tcPr>
          <w:p>
            <w:pPr>
              <w:ind w:left="380"/>
              <w:spacing w:after="0" w:line="182" w:lineRule="exact"/>
              <w:rPr>
                <w:sz w:val="20"/>
                <w:szCs w:val="20"/>
                <w:color w:val="auto"/>
              </w:rPr>
            </w:pPr>
            <w:r>
              <w:rPr>
                <w:rFonts w:ascii="Arial" w:cs="Arial" w:eastAsia="Arial" w:hAnsi="Arial"/>
                <w:sz w:val="16"/>
                <w:szCs w:val="16"/>
                <w:color w:val="auto"/>
              </w:rPr>
              <w:t>138,339,385 shares issued and outstanding in 2009 and 137,633,502</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5860" w:type="dxa"/>
            <w:vAlign w:val="bottom"/>
            <w:gridSpan w:val="7"/>
          </w:tcPr>
          <w:p>
            <w:pPr>
              <w:ind w:left="380"/>
              <w:spacing w:after="0"/>
              <w:rPr>
                <w:sz w:val="20"/>
                <w:szCs w:val="20"/>
                <w:color w:val="auto"/>
              </w:rPr>
            </w:pPr>
            <w:r>
              <w:rPr>
                <w:rFonts w:ascii="Arial" w:cs="Arial" w:eastAsia="Arial" w:hAnsi="Arial"/>
                <w:sz w:val="16"/>
                <w:szCs w:val="16"/>
                <w:color w:val="auto"/>
              </w:rPr>
              <w:t>shares issued and outstanding in 2008</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8,300,363</w:t>
            </w:r>
          </w:p>
        </w:tc>
        <w:tc>
          <w:tcPr>
            <w:tcW w:w="100" w:type="dxa"/>
            <w:vAlign w:val="bottom"/>
          </w:tcPr>
          <w:p>
            <w:pPr>
              <w:spacing w:after="0"/>
              <w:rPr>
                <w:sz w:val="15"/>
                <w:szCs w:val="15"/>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8,258,010</w:t>
            </w:r>
          </w:p>
        </w:tc>
      </w:tr>
      <w:tr>
        <w:trPr>
          <w:trHeight w:val="182"/>
        </w:trPr>
        <w:tc>
          <w:tcPr>
            <w:tcW w:w="280" w:type="dxa"/>
            <w:vAlign w:val="bottom"/>
          </w:tcPr>
          <w:p>
            <w:pPr>
              <w:spacing w:after="0"/>
              <w:rPr>
                <w:sz w:val="15"/>
                <w:szCs w:val="15"/>
                <w:color w:val="auto"/>
              </w:rPr>
            </w:pPr>
          </w:p>
        </w:tc>
        <w:tc>
          <w:tcPr>
            <w:tcW w:w="5860" w:type="dxa"/>
            <w:vAlign w:val="bottom"/>
            <w:gridSpan w:val="7"/>
            <w:shd w:val="clear" w:color="auto" w:fill="CCEEFF"/>
          </w:tcPr>
          <w:p>
            <w:pPr>
              <w:ind w:left="200"/>
              <w:spacing w:after="0" w:line="182" w:lineRule="exact"/>
              <w:rPr>
                <w:sz w:val="20"/>
                <w:szCs w:val="20"/>
                <w:color w:val="auto"/>
              </w:rPr>
            </w:pPr>
            <w:r>
              <w:rPr>
                <w:rFonts w:ascii="Arial" w:cs="Arial" w:eastAsia="Arial" w:hAnsi="Arial"/>
                <w:sz w:val="16"/>
                <w:szCs w:val="16"/>
                <w:color w:val="auto"/>
              </w:rPr>
              <w:t>Additional paid-in capital</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270,351,796</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253,821,363</w:t>
            </w:r>
          </w:p>
        </w:tc>
      </w:tr>
      <w:tr>
        <w:trPr>
          <w:trHeight w:val="182"/>
        </w:trPr>
        <w:tc>
          <w:tcPr>
            <w:tcW w:w="280" w:type="dxa"/>
            <w:vAlign w:val="bottom"/>
          </w:tcPr>
          <w:p>
            <w:pPr>
              <w:spacing w:after="0"/>
              <w:rPr>
                <w:sz w:val="15"/>
                <w:szCs w:val="15"/>
                <w:color w:val="auto"/>
              </w:rPr>
            </w:pPr>
          </w:p>
        </w:tc>
        <w:tc>
          <w:tcPr>
            <w:tcW w:w="5860" w:type="dxa"/>
            <w:vAlign w:val="bottom"/>
            <w:gridSpan w:val="7"/>
          </w:tcPr>
          <w:p>
            <w:pPr>
              <w:ind w:left="200"/>
              <w:spacing w:after="0" w:line="182" w:lineRule="exact"/>
              <w:rPr>
                <w:sz w:val="20"/>
                <w:szCs w:val="20"/>
                <w:color w:val="auto"/>
              </w:rPr>
            </w:pPr>
            <w:r>
              <w:rPr>
                <w:rFonts w:ascii="Arial" w:cs="Arial" w:eastAsia="Arial" w:hAnsi="Arial"/>
                <w:sz w:val="16"/>
                <w:szCs w:val="16"/>
                <w:color w:val="auto"/>
              </w:rPr>
              <w:t>Retained earnings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438,937,242</w:t>
            </w:r>
          </w:p>
        </w:tc>
        <w:tc>
          <w:tcPr>
            <w:tcW w:w="100" w:type="dxa"/>
            <w:vAlign w:val="bottom"/>
          </w:tcPr>
          <w:p>
            <w:pPr>
              <w:spacing w:after="0"/>
              <w:rPr>
                <w:sz w:val="15"/>
                <w:szCs w:val="15"/>
                <w:color w:val="auto"/>
              </w:rPr>
            </w:pPr>
          </w:p>
        </w:tc>
        <w:tc>
          <w:tcPr>
            <w:tcW w:w="1040" w:type="dxa"/>
            <w:vAlign w:val="bottom"/>
            <w:gridSpan w:val="2"/>
          </w:tcPr>
          <w:p>
            <w:pPr>
              <w:jc w:val="right"/>
              <w:ind w:right="80"/>
              <w:spacing w:after="0" w:line="182" w:lineRule="exact"/>
              <w:rPr>
                <w:sz w:val="20"/>
                <w:szCs w:val="20"/>
                <w:color w:val="auto"/>
              </w:rPr>
            </w:pPr>
            <w:r>
              <w:rPr>
                <w:rFonts w:ascii="Arial" w:cs="Arial" w:eastAsia="Arial" w:hAnsi="Arial"/>
                <w:sz w:val="16"/>
                <w:szCs w:val="16"/>
                <w:color w:val="auto"/>
              </w:rPr>
              <w:t>434,975,514</w:t>
            </w:r>
          </w:p>
        </w:tc>
      </w:tr>
      <w:tr>
        <w:trPr>
          <w:trHeight w:val="182"/>
        </w:trPr>
        <w:tc>
          <w:tcPr>
            <w:tcW w:w="280" w:type="dxa"/>
            <w:vAlign w:val="bottom"/>
          </w:tcPr>
          <w:p>
            <w:pPr>
              <w:spacing w:after="0"/>
              <w:rPr>
                <w:sz w:val="15"/>
                <w:szCs w:val="15"/>
                <w:color w:val="auto"/>
              </w:rPr>
            </w:pPr>
          </w:p>
        </w:tc>
        <w:tc>
          <w:tcPr>
            <w:tcW w:w="5860" w:type="dxa"/>
            <w:vAlign w:val="bottom"/>
            <w:gridSpan w:val="7"/>
            <w:shd w:val="clear" w:color="auto" w:fill="CCEEFF"/>
          </w:tcPr>
          <w:p>
            <w:pPr>
              <w:ind w:left="200"/>
              <w:spacing w:after="0" w:line="182" w:lineRule="exact"/>
              <w:rPr>
                <w:sz w:val="20"/>
                <w:szCs w:val="20"/>
                <w:color w:val="auto"/>
              </w:rPr>
            </w:pPr>
            <w:r>
              <w:rPr>
                <w:rFonts w:ascii="Arial" w:cs="Arial" w:eastAsia="Arial" w:hAnsi="Arial"/>
                <w:sz w:val="16"/>
                <w:szCs w:val="16"/>
                <w:color w:val="auto"/>
              </w:rPr>
              <w:t>Accumulated other comprehensive income:</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5860" w:type="dxa"/>
            <w:vAlign w:val="bottom"/>
            <w:gridSpan w:val="7"/>
          </w:tcPr>
          <w:p>
            <w:pPr>
              <w:ind w:left="380"/>
              <w:spacing w:after="0" w:line="182" w:lineRule="exact"/>
              <w:rPr>
                <w:sz w:val="20"/>
                <w:szCs w:val="20"/>
                <w:color w:val="auto"/>
              </w:rPr>
            </w:pPr>
            <w:r>
              <w:rPr>
                <w:rFonts w:ascii="Arial" w:cs="Arial" w:eastAsia="Arial" w:hAnsi="Arial"/>
                <w:sz w:val="16"/>
                <w:szCs w:val="16"/>
                <w:color w:val="auto"/>
              </w:rPr>
              <w:t>Unrealized gain on investments</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15,595,588</w:t>
            </w:r>
          </w:p>
        </w:tc>
        <w:tc>
          <w:tcPr>
            <w:tcW w:w="100" w:type="dxa"/>
            <w:vAlign w:val="bottom"/>
          </w:tcPr>
          <w:p>
            <w:pPr>
              <w:spacing w:after="0"/>
              <w:rPr>
                <w:sz w:val="15"/>
                <w:szCs w:val="15"/>
                <w:color w:val="auto"/>
              </w:rPr>
            </w:pPr>
          </w:p>
        </w:tc>
        <w:tc>
          <w:tcPr>
            <w:tcW w:w="1040" w:type="dxa"/>
            <w:vAlign w:val="bottom"/>
            <w:gridSpan w:val="2"/>
          </w:tcPr>
          <w:p>
            <w:pPr>
              <w:jc w:val="right"/>
              <w:ind w:right="80"/>
              <w:spacing w:after="0" w:line="182" w:lineRule="exact"/>
              <w:rPr>
                <w:sz w:val="20"/>
                <w:szCs w:val="20"/>
                <w:color w:val="auto"/>
              </w:rPr>
            </w:pPr>
            <w:r>
              <w:rPr>
                <w:rFonts w:ascii="Arial" w:cs="Arial" w:eastAsia="Arial" w:hAnsi="Arial"/>
                <w:sz w:val="16"/>
                <w:szCs w:val="16"/>
                <w:color w:val="auto"/>
              </w:rPr>
              <w:t>383,426</w:t>
            </w:r>
          </w:p>
        </w:tc>
      </w:tr>
      <w:tr>
        <w:trPr>
          <w:trHeight w:val="182"/>
        </w:trPr>
        <w:tc>
          <w:tcPr>
            <w:tcW w:w="280" w:type="dxa"/>
            <w:vAlign w:val="bottom"/>
          </w:tcPr>
          <w:p>
            <w:pPr>
              <w:spacing w:after="0"/>
              <w:rPr>
                <w:sz w:val="15"/>
                <w:szCs w:val="15"/>
                <w:color w:val="auto"/>
              </w:rPr>
            </w:pPr>
          </w:p>
        </w:tc>
        <w:tc>
          <w:tcPr>
            <w:tcW w:w="5860" w:type="dxa"/>
            <w:vAlign w:val="bottom"/>
            <w:gridSpan w:val="7"/>
            <w:shd w:val="clear" w:color="auto" w:fill="CCEEFF"/>
          </w:tcPr>
          <w:p>
            <w:pPr>
              <w:ind w:left="380"/>
              <w:spacing w:after="0" w:line="182" w:lineRule="exact"/>
              <w:rPr>
                <w:sz w:val="20"/>
                <w:szCs w:val="20"/>
                <w:color w:val="auto"/>
              </w:rPr>
            </w:pPr>
            <w:r>
              <w:rPr>
                <w:rFonts w:ascii="Arial" w:cs="Arial" w:eastAsia="Arial" w:hAnsi="Arial"/>
                <w:sz w:val="16"/>
                <w:szCs w:val="16"/>
                <w:color w:val="auto"/>
              </w:rPr>
              <w:t>Cumulative translation adjustment</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2,743,754</w:t>
            </w: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1,158,009</w:t>
            </w:r>
          </w:p>
        </w:tc>
      </w:tr>
      <w:tr>
        <w:trPr>
          <w:trHeight w:val="20"/>
        </w:trPr>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87"/>
        </w:trPr>
        <w:tc>
          <w:tcPr>
            <w:tcW w:w="280" w:type="dxa"/>
            <w:vAlign w:val="bottom"/>
          </w:tcPr>
          <w:p>
            <w:pPr>
              <w:spacing w:after="0"/>
              <w:rPr>
                <w:sz w:val="16"/>
                <w:szCs w:val="16"/>
                <w:color w:val="auto"/>
              </w:rPr>
            </w:pPr>
          </w:p>
        </w:tc>
        <w:tc>
          <w:tcPr>
            <w:tcW w:w="5860" w:type="dxa"/>
            <w:vAlign w:val="bottom"/>
            <w:gridSpan w:val="7"/>
          </w:tcPr>
          <w:p>
            <w:pPr>
              <w:ind w:left="560"/>
              <w:spacing w:after="0"/>
              <w:rPr>
                <w:sz w:val="20"/>
                <w:szCs w:val="20"/>
                <w:color w:val="auto"/>
              </w:rPr>
            </w:pPr>
            <w:r>
              <w:rPr>
                <w:rFonts w:ascii="Arial" w:cs="Arial" w:eastAsia="Arial" w:hAnsi="Arial"/>
                <w:sz w:val="16"/>
                <w:szCs w:val="16"/>
                <w:color w:val="auto"/>
              </w:rPr>
              <w:t>Total shareholders’ investment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735,928,743</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698,596,322</w:t>
            </w:r>
          </w:p>
        </w:tc>
      </w:tr>
      <w:tr>
        <w:trPr>
          <w:trHeight w:val="187"/>
        </w:trPr>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82"/>
        </w:trPr>
        <w:tc>
          <w:tcPr>
            <w:tcW w:w="280" w:type="dxa"/>
            <w:vAlign w:val="bottom"/>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822,603,489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763,103,380</w:t>
            </w:r>
          </w:p>
        </w:tc>
      </w:tr>
      <w:tr>
        <w:trPr>
          <w:trHeight w:val="20"/>
        </w:trPr>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9"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0219"/>
          </w:cols>
          <w:pgMar w:left="240" w:top="381"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81" w:right="1440" w:bottom="1440" w:gutter="0" w:footer="0" w:header="0"/>
          <w:type w:val="continuous"/>
        </w:sectPr>
      </w:pPr>
    </w:p>
    <w:bookmarkStart w:id="34" w:name="page35"/>
    <w:bookmarkEnd w:id="34"/>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jc w:val="center"/>
        <w:ind w:right="1239"/>
        <w:spacing w:after="0"/>
        <w:rPr>
          <w:sz w:val="20"/>
          <w:szCs w:val="20"/>
          <w:color w:val="auto"/>
        </w:rPr>
      </w:pPr>
      <w:r>
        <w:rPr>
          <w:rFonts w:ascii="Arial" w:cs="Arial" w:eastAsia="Arial" w:hAnsi="Arial"/>
          <w:sz w:val="16"/>
          <w:szCs w:val="16"/>
          <w:u w:val="single" w:color="auto"/>
          <w:color w:val="auto"/>
        </w:rPr>
        <w:t>GENTEX CORPORATION AND SUBSIDIARIES</w:t>
      </w:r>
    </w:p>
    <w:p>
      <w:pPr>
        <w:spacing w:after="0" w:line="168" w:lineRule="exact"/>
        <w:rPr>
          <w:sz w:val="20"/>
          <w:szCs w:val="20"/>
          <w:color w:val="auto"/>
        </w:rPr>
      </w:pPr>
    </w:p>
    <w:p>
      <w:pPr>
        <w:jc w:val="center"/>
        <w:ind w:right="1239"/>
        <w:spacing w:after="0"/>
        <w:rPr>
          <w:sz w:val="20"/>
          <w:szCs w:val="20"/>
          <w:color w:val="auto"/>
        </w:rPr>
      </w:pPr>
      <w:r>
        <w:rPr>
          <w:rFonts w:ascii="Arial" w:cs="Arial" w:eastAsia="Arial" w:hAnsi="Arial"/>
          <w:sz w:val="16"/>
          <w:szCs w:val="16"/>
          <w:u w:val="single" w:color="auto"/>
          <w:color w:val="auto"/>
        </w:rPr>
        <w:t>CONSOLIDATED STATEMENTS OF INCOME</w:t>
      </w:r>
    </w:p>
    <w:p>
      <w:pPr>
        <w:spacing w:after="0" w:line="156" w:lineRule="exact"/>
        <w:rPr>
          <w:sz w:val="20"/>
          <w:szCs w:val="20"/>
          <w:color w:val="auto"/>
        </w:rPr>
      </w:pPr>
    </w:p>
    <w:p>
      <w:pPr>
        <w:jc w:val="center"/>
        <w:ind w:right="1239"/>
        <w:spacing w:after="0"/>
        <w:rPr>
          <w:sz w:val="20"/>
          <w:szCs w:val="20"/>
          <w:color w:val="auto"/>
        </w:rPr>
      </w:pPr>
      <w:r>
        <w:rPr>
          <w:rFonts w:ascii="Arial" w:cs="Arial" w:eastAsia="Arial" w:hAnsi="Arial"/>
          <w:sz w:val="16"/>
          <w:szCs w:val="16"/>
          <w:u w:val="single" w:color="auto"/>
          <w:color w:val="auto"/>
        </w:rPr>
        <w:t>FOR THE YEARS ENDED DECEMBER 31, 2009, 2008 AND 2007</w:t>
      </w:r>
    </w:p>
    <w:p>
      <w:pPr>
        <w:spacing w:after="0" w:line="180"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2009</w:t>
            </w: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2008</w:t>
            </w: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2007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NET SALES</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w w:val="98"/>
              </w:rPr>
              <w:t>544,522,993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w w:val="98"/>
              </w:rPr>
              <w:t>623,799,822</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653,933,236</w:t>
            </w:r>
          </w:p>
        </w:tc>
        <w:tc>
          <w:tcPr>
            <w:tcW w:w="0" w:type="dxa"/>
            <w:vAlign w:val="bottom"/>
          </w:tcPr>
          <w:p>
            <w:pPr>
              <w:spacing w:after="0"/>
              <w:rPr>
                <w:sz w:val="1"/>
                <w:szCs w:val="1"/>
                <w:color w:val="auto"/>
              </w:rPr>
            </w:pPr>
          </w:p>
        </w:tc>
      </w:tr>
      <w:tr>
        <w:trPr>
          <w:trHeight w:val="365"/>
        </w:trPr>
        <w:tc>
          <w:tcPr>
            <w:tcW w:w="4700" w:type="dxa"/>
            <w:vAlign w:val="bottom"/>
          </w:tcPr>
          <w:p>
            <w:pPr>
              <w:ind w:left="20"/>
              <w:spacing w:after="0"/>
              <w:rPr>
                <w:sz w:val="20"/>
                <w:szCs w:val="20"/>
                <w:color w:val="auto"/>
              </w:rPr>
            </w:pPr>
            <w:r>
              <w:rPr>
                <w:rFonts w:ascii="Arial" w:cs="Arial" w:eastAsia="Arial" w:hAnsi="Arial"/>
                <w:sz w:val="16"/>
                <w:szCs w:val="16"/>
                <w:color w:val="auto"/>
              </w:rPr>
              <w:t>COST OF GOODS SOLD</w:t>
            </w:r>
          </w:p>
        </w:tc>
        <w:tc>
          <w:tcPr>
            <w:tcW w:w="10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w w:val="98"/>
              </w:rPr>
              <w:t>366,968,216</w:t>
            </w:r>
          </w:p>
        </w:tc>
        <w:tc>
          <w:tcPr>
            <w:tcW w:w="100" w:type="dxa"/>
            <w:vAlign w:val="bottom"/>
          </w:tcPr>
          <w:p>
            <w:pPr>
              <w:spacing w:after="0"/>
              <w:rPr>
                <w:sz w:val="24"/>
                <w:szCs w:val="2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w w:val="98"/>
              </w:rPr>
              <w:t>420,672,934</w:t>
            </w:r>
          </w:p>
        </w:tc>
        <w:tc>
          <w:tcPr>
            <w:tcW w:w="1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426,236,241</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Gross profit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w w:val="98"/>
              </w:rPr>
              <w:t>177,554,777</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w w:val="98"/>
              </w:rPr>
              <w:t>203,126,888</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227,696,995</w:t>
            </w:r>
          </w:p>
        </w:tc>
        <w:tc>
          <w:tcPr>
            <w:tcW w:w="0" w:type="dxa"/>
            <w:vAlign w:val="bottom"/>
          </w:tcPr>
          <w:p>
            <w:pPr>
              <w:spacing w:after="0"/>
              <w:rPr>
                <w:sz w:val="1"/>
                <w:szCs w:val="1"/>
                <w:color w:val="auto"/>
              </w:rPr>
            </w:pPr>
          </w:p>
        </w:tc>
      </w:tr>
      <w:tr>
        <w:trPr>
          <w:trHeight w:val="365"/>
        </w:trPr>
        <w:tc>
          <w:tcPr>
            <w:tcW w:w="470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Engineering, research and development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47,128,086</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51,888,922</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50,715,057</w:t>
            </w:r>
          </w:p>
        </w:tc>
        <w:tc>
          <w:tcPr>
            <w:tcW w:w="0" w:type="dxa"/>
            <w:vAlign w:val="bottom"/>
          </w:tcPr>
          <w:p>
            <w:pPr>
              <w:spacing w:after="0"/>
              <w:rPr>
                <w:sz w:val="1"/>
                <w:szCs w:val="1"/>
                <w:color w:val="auto"/>
              </w:rPr>
            </w:pPr>
          </w:p>
        </w:tc>
      </w:tr>
      <w:tr>
        <w:trPr>
          <w:trHeight w:val="182"/>
        </w:trPr>
        <w:tc>
          <w:tcPr>
            <w:tcW w:w="4700" w:type="dxa"/>
            <w:vAlign w:val="bottom"/>
          </w:tcPr>
          <w:p>
            <w:pPr>
              <w:ind w:left="200"/>
              <w:spacing w:after="0" w:line="182" w:lineRule="exact"/>
              <w:rPr>
                <w:sz w:val="20"/>
                <w:szCs w:val="20"/>
                <w:color w:val="auto"/>
              </w:rPr>
            </w:pPr>
            <w:r>
              <w:rPr>
                <w:rFonts w:ascii="Arial" w:cs="Arial" w:eastAsia="Arial" w:hAnsi="Arial"/>
                <w:sz w:val="16"/>
                <w:szCs w:val="16"/>
                <w:color w:val="auto"/>
              </w:rPr>
              <w:t>Selling, general and administrative</w:t>
            </w:r>
          </w:p>
        </w:tc>
        <w:tc>
          <w:tcPr>
            <w:tcW w:w="100" w:type="dxa"/>
            <w:vAlign w:val="bottom"/>
          </w:tcPr>
          <w:p>
            <w:pPr>
              <w:spacing w:after="0"/>
              <w:rPr>
                <w:sz w:val="15"/>
                <w:szCs w:val="15"/>
                <w:color w:val="auto"/>
              </w:rPr>
            </w:pPr>
          </w:p>
        </w:tc>
        <w:tc>
          <w:tcPr>
            <w:tcW w:w="122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35,807,622</w:t>
            </w:r>
          </w:p>
        </w:tc>
        <w:tc>
          <w:tcPr>
            <w:tcW w:w="100" w:type="dxa"/>
            <w:vAlign w:val="bottom"/>
          </w:tcPr>
          <w:p>
            <w:pPr>
              <w:spacing w:after="0"/>
              <w:rPr>
                <w:sz w:val="15"/>
                <w:szCs w:val="15"/>
                <w:color w:val="auto"/>
              </w:rPr>
            </w:pPr>
          </w:p>
        </w:tc>
        <w:tc>
          <w:tcPr>
            <w:tcW w:w="120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42,425,050</w:t>
            </w:r>
          </w:p>
        </w:tc>
        <w:tc>
          <w:tcPr>
            <w:tcW w:w="100" w:type="dxa"/>
            <w:vAlign w:val="bottom"/>
          </w:tcPr>
          <w:p>
            <w:pPr>
              <w:spacing w:after="0"/>
              <w:rPr>
                <w:sz w:val="15"/>
                <w:szCs w:val="15"/>
                <w:color w:val="auto"/>
              </w:rPr>
            </w:pPr>
          </w:p>
        </w:tc>
        <w:tc>
          <w:tcPr>
            <w:tcW w:w="9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35,280,846</w:t>
            </w: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Litigation judgment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0</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2,885,329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700" w:type="dxa"/>
            <w:vAlign w:val="bottom"/>
          </w:tcPr>
          <w:p>
            <w:pPr>
              <w:ind w:left="380"/>
              <w:spacing w:after="0"/>
              <w:rPr>
                <w:sz w:val="20"/>
                <w:szCs w:val="20"/>
                <w:color w:val="auto"/>
              </w:rPr>
            </w:pPr>
            <w:r>
              <w:rPr>
                <w:rFonts w:ascii="Arial" w:cs="Arial" w:eastAsia="Arial" w:hAnsi="Arial"/>
                <w:sz w:val="16"/>
                <w:szCs w:val="16"/>
                <w:color w:val="auto"/>
              </w:rPr>
              <w:t>Total operating expenses</w:t>
            </w:r>
          </w:p>
        </w:tc>
        <w:tc>
          <w:tcPr>
            <w:tcW w:w="10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82,935,708</w:t>
            </w:r>
          </w:p>
        </w:tc>
        <w:tc>
          <w:tcPr>
            <w:tcW w:w="100" w:type="dxa"/>
            <w:vAlign w:val="bottom"/>
          </w:tcPr>
          <w:p>
            <w:pPr>
              <w:spacing w:after="0"/>
              <w:rPr>
                <w:sz w:val="24"/>
                <w:szCs w:val="2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94,313,972</w:t>
            </w:r>
          </w:p>
        </w:tc>
        <w:tc>
          <w:tcPr>
            <w:tcW w:w="1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88,881,232</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Income from operations</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94,619,069</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w w:val="98"/>
              </w:rPr>
              <w:t>108,812,916</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138,815,763</w:t>
            </w:r>
          </w:p>
        </w:tc>
        <w:tc>
          <w:tcPr>
            <w:tcW w:w="0" w:type="dxa"/>
            <w:vAlign w:val="bottom"/>
          </w:tcPr>
          <w:p>
            <w:pPr>
              <w:spacing w:after="0"/>
              <w:rPr>
                <w:sz w:val="1"/>
                <w:szCs w:val="1"/>
                <w:color w:val="auto"/>
              </w:rPr>
            </w:pPr>
          </w:p>
        </w:tc>
      </w:tr>
      <w:tr>
        <w:trPr>
          <w:trHeight w:val="365"/>
        </w:trPr>
        <w:tc>
          <w:tcPr>
            <w:tcW w:w="4700" w:type="dxa"/>
            <w:vAlign w:val="bottom"/>
          </w:tcPr>
          <w:p>
            <w:pPr>
              <w:ind w:left="20"/>
              <w:spacing w:after="0"/>
              <w:rPr>
                <w:sz w:val="20"/>
                <w:szCs w:val="20"/>
                <w:color w:val="auto"/>
              </w:rPr>
            </w:pPr>
            <w:r>
              <w:rPr>
                <w:rFonts w:ascii="Arial" w:cs="Arial" w:eastAsia="Arial" w:hAnsi="Arial"/>
                <w:sz w:val="16"/>
                <w:szCs w:val="16"/>
                <w:color w:val="auto"/>
              </w:rPr>
              <w:t>OTHER INCOME (EXPENSE):</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Interest and dividend income</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3,321,853</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13,600,326</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25,777,667</w:t>
            </w:r>
          </w:p>
        </w:tc>
        <w:tc>
          <w:tcPr>
            <w:tcW w:w="0" w:type="dxa"/>
            <w:vAlign w:val="bottom"/>
          </w:tcPr>
          <w:p>
            <w:pPr>
              <w:spacing w:after="0"/>
              <w:rPr>
                <w:sz w:val="1"/>
                <w:szCs w:val="1"/>
                <w:color w:val="auto"/>
              </w:rPr>
            </w:pPr>
          </w:p>
        </w:tc>
      </w:tr>
      <w:tr>
        <w:trPr>
          <w:trHeight w:val="182"/>
        </w:trPr>
        <w:tc>
          <w:tcPr>
            <w:tcW w:w="4700" w:type="dxa"/>
            <w:vAlign w:val="bottom"/>
          </w:tcPr>
          <w:p>
            <w:pPr>
              <w:ind w:left="200"/>
              <w:spacing w:after="0" w:line="182" w:lineRule="exact"/>
              <w:rPr>
                <w:sz w:val="20"/>
                <w:szCs w:val="20"/>
                <w:color w:val="auto"/>
              </w:rPr>
            </w:pPr>
            <w:r>
              <w:rPr>
                <w:rFonts w:ascii="Arial" w:cs="Arial" w:eastAsia="Arial" w:hAnsi="Arial"/>
                <w:sz w:val="16"/>
                <w:szCs w:val="16"/>
                <w:color w:val="auto"/>
              </w:rPr>
              <w:t>Impairment loss on available-for-sale securities</w:t>
            </w:r>
          </w:p>
        </w:tc>
        <w:tc>
          <w:tcPr>
            <w:tcW w:w="100" w:type="dxa"/>
            <w:vAlign w:val="bottom"/>
          </w:tcPr>
          <w:p>
            <w:pPr>
              <w:spacing w:after="0"/>
              <w:rPr>
                <w:sz w:val="15"/>
                <w:szCs w:val="15"/>
                <w:color w:val="auto"/>
              </w:rPr>
            </w:pPr>
          </w:p>
        </w:tc>
        <w:tc>
          <w:tcPr>
            <w:tcW w:w="1220" w:type="dxa"/>
            <w:vAlign w:val="bottom"/>
            <w:gridSpan w:val="2"/>
          </w:tcPr>
          <w:p>
            <w:pPr>
              <w:jc w:val="right"/>
              <w:ind w:right="260"/>
              <w:spacing w:after="0" w:line="182" w:lineRule="exact"/>
              <w:rPr>
                <w:sz w:val="20"/>
                <w:szCs w:val="20"/>
                <w:color w:val="auto"/>
              </w:rPr>
            </w:pPr>
            <w:r>
              <w:rPr>
                <w:rFonts w:ascii="Arial" w:cs="Arial" w:eastAsia="Arial" w:hAnsi="Arial"/>
                <w:sz w:val="16"/>
                <w:szCs w:val="16"/>
                <w:color w:val="auto"/>
              </w:rPr>
              <w:t>(1,290,590)</w:t>
            </w:r>
          </w:p>
        </w:tc>
        <w:tc>
          <w:tcPr>
            <w:tcW w:w="100" w:type="dxa"/>
            <w:vAlign w:val="bottom"/>
          </w:tcPr>
          <w:p>
            <w:pPr>
              <w:spacing w:after="0"/>
              <w:rPr>
                <w:sz w:val="15"/>
                <w:szCs w:val="15"/>
                <w:color w:val="auto"/>
              </w:rPr>
            </w:pPr>
          </w:p>
        </w:tc>
        <w:tc>
          <w:tcPr>
            <w:tcW w:w="120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(17,909,901)</w:t>
            </w:r>
          </w:p>
        </w:tc>
        <w:tc>
          <w:tcPr>
            <w:tcW w:w="100" w:type="dxa"/>
            <w:vAlign w:val="bottom"/>
          </w:tcPr>
          <w:p>
            <w:pPr>
              <w:spacing w:after="0"/>
              <w:rPr>
                <w:sz w:val="15"/>
                <w:szCs w:val="15"/>
                <w:color w:val="auto"/>
              </w:rPr>
            </w:pPr>
          </w:p>
        </w:tc>
        <w:tc>
          <w:tcPr>
            <w:tcW w:w="9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Other, net</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(298,029)</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(12,308,480)</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15,145,338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9"/>
        </w:trPr>
        <w:tc>
          <w:tcPr>
            <w:tcW w:w="4700" w:type="dxa"/>
            <w:vAlign w:val="bottom"/>
          </w:tcPr>
          <w:p>
            <w:pPr>
              <w:ind w:left="380"/>
              <w:spacing w:after="0"/>
              <w:rPr>
                <w:sz w:val="20"/>
                <w:szCs w:val="20"/>
                <w:color w:val="auto"/>
              </w:rPr>
            </w:pPr>
            <w:r>
              <w:rPr>
                <w:rFonts w:ascii="Arial" w:cs="Arial" w:eastAsia="Arial" w:hAnsi="Arial"/>
                <w:sz w:val="16"/>
                <w:szCs w:val="16"/>
                <w:color w:val="auto"/>
              </w:rPr>
              <w:t>Total other income (expense)</w:t>
            </w:r>
          </w:p>
        </w:tc>
        <w:tc>
          <w:tcPr>
            <w:tcW w:w="10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1,733,234</w:t>
            </w:r>
          </w:p>
        </w:tc>
        <w:tc>
          <w:tcPr>
            <w:tcW w:w="10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(16,618,055)</w:t>
            </w:r>
          </w:p>
        </w:tc>
        <w:tc>
          <w:tcPr>
            <w:tcW w:w="1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40,923,005</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Income before provision for income taxes</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96,352,303</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92,194,861</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179,738,768</w:t>
            </w:r>
          </w:p>
        </w:tc>
        <w:tc>
          <w:tcPr>
            <w:tcW w:w="0" w:type="dxa"/>
            <w:vAlign w:val="bottom"/>
          </w:tcPr>
          <w:p>
            <w:pPr>
              <w:spacing w:after="0"/>
              <w:rPr>
                <w:sz w:val="1"/>
                <w:szCs w:val="1"/>
                <w:color w:val="auto"/>
              </w:rPr>
            </w:pPr>
          </w:p>
        </w:tc>
      </w:tr>
      <w:tr>
        <w:trPr>
          <w:trHeight w:val="365"/>
        </w:trPr>
        <w:tc>
          <w:tcPr>
            <w:tcW w:w="470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100" w:type="dxa"/>
            <w:vAlign w:val="bottom"/>
          </w:tcPr>
          <w:p>
            <w:pPr>
              <w:spacing w:after="0"/>
              <w:rPr>
                <w:sz w:val="24"/>
                <w:szCs w:val="24"/>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31,715,218</w:t>
            </w:r>
          </w:p>
        </w:tc>
        <w:tc>
          <w:tcPr>
            <w:tcW w:w="100" w:type="dxa"/>
            <w:vAlign w:val="bottom"/>
          </w:tcPr>
          <w:p>
            <w:pPr>
              <w:spacing w:after="0"/>
              <w:rPr>
                <w:sz w:val="24"/>
                <w:szCs w:val="24"/>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30,106,914</w:t>
            </w:r>
          </w:p>
        </w:tc>
        <w:tc>
          <w:tcPr>
            <w:tcW w:w="100" w:type="dxa"/>
            <w:vAlign w:val="bottom"/>
          </w:tcPr>
          <w:p>
            <w:pPr>
              <w:spacing w:after="0"/>
              <w:rPr>
                <w:sz w:val="24"/>
                <w:szCs w:val="24"/>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57,608,747</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NET INCOME</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64,637,085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62,087,947</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w w:val="89"/>
              </w:rPr>
              <w:t>$</w:t>
            </w: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122,130,021</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20"/>
              <w:spacing w:after="0"/>
              <w:rPr>
                <w:sz w:val="20"/>
                <w:szCs w:val="20"/>
                <w:color w:val="auto"/>
              </w:rPr>
            </w:pPr>
            <w:r>
              <w:rPr>
                <w:rFonts w:ascii="Arial" w:cs="Arial" w:eastAsia="Arial" w:hAnsi="Arial"/>
                <w:sz w:val="16"/>
                <w:szCs w:val="16"/>
                <w:color w:val="auto"/>
              </w:rPr>
              <w:t>EARNINGS PER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Basic</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0.47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0.44</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tcPr>
          <w:p>
            <w:pPr>
              <w:ind w:left="200"/>
              <w:spacing w:after="0" w:line="171" w:lineRule="exact"/>
              <w:rPr>
                <w:sz w:val="20"/>
                <w:szCs w:val="20"/>
                <w:color w:val="auto"/>
              </w:rPr>
            </w:pPr>
            <w:r>
              <w:rPr>
                <w:rFonts w:ascii="Arial" w:cs="Arial" w:eastAsia="Arial" w:hAnsi="Arial"/>
                <w:sz w:val="16"/>
                <w:szCs w:val="16"/>
                <w:color w:val="auto"/>
              </w:rPr>
              <w:t>Diluted</w:t>
            </w:r>
          </w:p>
        </w:tc>
        <w:tc>
          <w:tcPr>
            <w:tcW w:w="100" w:type="dxa"/>
            <w:vAlign w:val="bottom"/>
          </w:tcPr>
          <w:p>
            <w:pPr>
              <w:jc w:val="right"/>
              <w:spacing w:after="0" w:line="171" w:lineRule="exact"/>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320"/>
              <w:spacing w:after="0" w:line="171" w:lineRule="exact"/>
              <w:rPr>
                <w:sz w:val="20"/>
                <w:szCs w:val="20"/>
                <w:color w:val="auto"/>
              </w:rPr>
            </w:pPr>
            <w:r>
              <w:rPr>
                <w:rFonts w:ascii="Arial" w:cs="Arial" w:eastAsia="Arial" w:hAnsi="Arial"/>
                <w:sz w:val="16"/>
                <w:szCs w:val="16"/>
                <w:color w:val="auto"/>
              </w:rPr>
              <w:t>0.47</w:t>
            </w:r>
          </w:p>
        </w:tc>
        <w:tc>
          <w:tcPr>
            <w:tcW w:w="100" w:type="dxa"/>
            <w:vAlign w:val="bottom"/>
          </w:tcPr>
          <w:p>
            <w:pPr>
              <w:jc w:val="right"/>
              <w:spacing w:after="0" w:line="171" w:lineRule="exact"/>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00"/>
              <w:spacing w:after="0" w:line="171" w:lineRule="exact"/>
              <w:rPr>
                <w:sz w:val="20"/>
                <w:szCs w:val="20"/>
                <w:color w:val="auto"/>
              </w:rPr>
            </w:pPr>
            <w:r>
              <w:rPr>
                <w:rFonts w:ascii="Arial" w:cs="Arial" w:eastAsia="Arial" w:hAnsi="Arial"/>
                <w:sz w:val="16"/>
                <w:szCs w:val="16"/>
                <w:color w:val="auto"/>
              </w:rPr>
              <w:t>0.44</w:t>
            </w:r>
          </w:p>
        </w:tc>
        <w:tc>
          <w:tcPr>
            <w:tcW w:w="100" w:type="dxa"/>
            <w:vAlign w:val="bottom"/>
          </w:tcPr>
          <w:p>
            <w:pPr>
              <w:jc w:val="right"/>
              <w:spacing w:after="0" w:line="171" w:lineRule="exact"/>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60"/>
              <w:spacing w:after="0" w:line="171" w:lineRule="exact"/>
              <w:rPr>
                <w:sz w:val="20"/>
                <w:szCs w:val="20"/>
                <w:color w:val="auto"/>
              </w:rPr>
            </w:pPr>
            <w:r>
              <w:rPr>
                <w:rFonts w:ascii="Arial" w:cs="Arial" w:eastAsia="Arial" w:hAnsi="Arial"/>
                <w:sz w:val="16"/>
                <w:szCs w:val="16"/>
                <w:color w:val="auto"/>
              </w:rPr>
              <w:t>0.85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Cash Dividends Declared per Share</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0.44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0.43</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0.40</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35" w:name="page36"/>
    <w:bookmarkEnd w:id="35"/>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40" w:type="dxa"/>
            <w:vAlign w:val="bottom"/>
            <w:gridSpan w:val="3"/>
          </w:tcPr>
          <w:p>
            <w:pPr>
              <w:spacing w:after="0"/>
              <w:rPr>
                <w:rFonts w:ascii="Arial" w:cs="Arial" w:eastAsia="Arial" w:hAnsi="Arial"/>
                <w:sz w:val="16"/>
                <w:szCs w:val="16"/>
                <w:b w:val="1"/>
                <w:bCs w:val="1"/>
                <w:color w:val="0000EE"/>
              </w:rPr>
            </w:pPr>
            <w:hyperlink w:anchor="page4">
              <w:r>
                <w:rPr>
                  <w:rFonts w:ascii="Arial" w:cs="Arial" w:eastAsia="Arial" w:hAnsi="Arial"/>
                  <w:sz w:val="16"/>
                  <w:szCs w:val="16"/>
                  <w:b w:val="1"/>
                  <w:bCs w:val="1"/>
                  <w:color w:val="0000EE"/>
                </w:rPr>
                <w:t>Table of Contents</w:t>
              </w:r>
            </w:hyperlink>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2"/>
        </w:trPr>
        <w:tc>
          <w:tcPr>
            <w:tcW w:w="20" w:type="dxa"/>
            <w:vAlign w:val="bottom"/>
          </w:tcPr>
          <w:p>
            <w:pPr>
              <w:spacing w:after="0"/>
              <w:rPr>
                <w:sz w:val="24"/>
                <w:szCs w:val="24"/>
                <w:color w:val="auto"/>
              </w:rPr>
            </w:pPr>
          </w:p>
        </w:tc>
        <w:tc>
          <w:tcPr>
            <w:tcW w:w="1180" w:type="dxa"/>
            <w:vAlign w:val="bottom"/>
            <w:tcBorders>
              <w:top w:val="single" w:sz="8" w:color="0000EE"/>
            </w:tcBorders>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60" w:type="dxa"/>
            <w:vAlign w:val="bottom"/>
            <w:tcBorders>
              <w:bottom w:val="single" w:sz="8" w:color="auto"/>
            </w:tcBorders>
            <w:gridSpan w:val="11"/>
          </w:tcPr>
          <w:p>
            <w:pPr>
              <w:jc w:val="center"/>
              <w:spacing w:after="0"/>
              <w:rPr>
                <w:sz w:val="20"/>
                <w:szCs w:val="20"/>
                <w:color w:val="auto"/>
              </w:rPr>
            </w:pPr>
            <w:r>
              <w:rPr>
                <w:rFonts w:ascii="Arial" w:cs="Arial" w:eastAsia="Arial" w:hAnsi="Arial"/>
                <w:sz w:val="16"/>
                <w:szCs w:val="16"/>
                <w:color w:val="auto"/>
              </w:rPr>
              <w:t>GENTEX CORPORATION AND SUBSIDIARIES</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40" w:type="dxa"/>
            <w:vAlign w:val="bottom"/>
            <w:tcBorders>
              <w:bottom w:val="single" w:sz="8" w:color="auto"/>
            </w:tcBorders>
            <w:gridSpan w:val="19"/>
          </w:tcPr>
          <w:p>
            <w:pPr>
              <w:jc w:val="center"/>
              <w:spacing w:after="0"/>
              <w:rPr>
                <w:sz w:val="20"/>
                <w:szCs w:val="20"/>
                <w:color w:val="auto"/>
              </w:rPr>
            </w:pPr>
            <w:r>
              <w:rPr>
                <w:rFonts w:ascii="Arial" w:cs="Arial" w:eastAsia="Arial" w:hAnsi="Arial"/>
                <w:sz w:val="16"/>
                <w:szCs w:val="16"/>
                <w:color w:val="auto"/>
              </w:rPr>
              <w:t>CONSOLIDATED STATEMENT OF SHAREHOLDERS’ INVESTMENT</w:t>
            </w:r>
          </w:p>
        </w:tc>
        <w:tc>
          <w:tcPr>
            <w:tcW w:w="340" w:type="dxa"/>
            <w:vAlign w:val="bottom"/>
            <w:gridSpan w:val="2"/>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20" w:type="dxa"/>
            <w:vAlign w:val="bottom"/>
            <w:gridSpan w:val="17"/>
          </w:tcPr>
          <w:p>
            <w:pPr>
              <w:jc w:val="center"/>
              <w:ind w:right="500"/>
              <w:spacing w:after="0"/>
              <w:rPr>
                <w:sz w:val="20"/>
                <w:szCs w:val="20"/>
                <w:color w:val="auto"/>
              </w:rPr>
            </w:pPr>
            <w:r>
              <w:rPr>
                <w:rFonts w:ascii="Arial" w:cs="Arial" w:eastAsia="Arial" w:hAnsi="Arial"/>
                <w:sz w:val="16"/>
                <w:szCs w:val="16"/>
                <w:color w:val="auto"/>
              </w:rPr>
              <w:t>FOR THE YEARS ENDED DECEMBER 31, 2009, 2008 and 2007</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3"/>
          </w:tcPr>
          <w:p>
            <w:pPr>
              <w:jc w:val="center"/>
              <w:ind w:right="80"/>
              <w:spacing w:after="0"/>
              <w:rPr>
                <w:sz w:val="20"/>
                <w:szCs w:val="20"/>
                <w:color w:val="auto"/>
              </w:rPr>
            </w:pPr>
            <w:r>
              <w:rPr>
                <w:rFonts w:ascii="Arial" w:cs="Arial" w:eastAsia="Arial" w:hAnsi="Arial"/>
                <w:sz w:val="16"/>
                <w:szCs w:val="16"/>
                <w:color w:val="auto"/>
              </w:rPr>
              <w:t>Accumulated Other</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40" w:type="dxa"/>
            <w:vAlign w:val="bottom"/>
            <w:gridSpan w:val="4"/>
          </w:tcPr>
          <w:p>
            <w:pPr>
              <w:jc w:val="right"/>
              <w:ind w:right="80"/>
              <w:spacing w:after="0" w:line="182" w:lineRule="exact"/>
              <w:rPr>
                <w:sz w:val="20"/>
                <w:szCs w:val="20"/>
                <w:color w:val="auto"/>
              </w:rPr>
            </w:pPr>
            <w:r>
              <w:rPr>
                <w:rFonts w:ascii="Arial" w:cs="Arial" w:eastAsia="Arial" w:hAnsi="Arial"/>
                <w:sz w:val="16"/>
                <w:szCs w:val="16"/>
                <w:color w:val="auto"/>
              </w:rPr>
              <w:t>Common Stock</w:t>
            </w:r>
          </w:p>
        </w:tc>
        <w:tc>
          <w:tcPr>
            <w:tcW w:w="1240" w:type="dxa"/>
            <w:vAlign w:val="bottom"/>
            <w:gridSpan w:val="6"/>
          </w:tcPr>
          <w:p>
            <w:pPr>
              <w:ind w:left="40"/>
              <w:spacing w:after="0" w:line="182" w:lineRule="exact"/>
              <w:rPr>
                <w:sz w:val="20"/>
                <w:szCs w:val="20"/>
                <w:color w:val="auto"/>
              </w:rPr>
            </w:pPr>
            <w:r>
              <w:rPr>
                <w:rFonts w:ascii="Arial" w:cs="Arial" w:eastAsia="Arial" w:hAnsi="Arial"/>
                <w:sz w:val="16"/>
                <w:szCs w:val="16"/>
                <w:color w:val="auto"/>
              </w:rPr>
              <w:t>Common Stock</w:t>
            </w:r>
          </w:p>
        </w:tc>
        <w:tc>
          <w:tcPr>
            <w:tcW w:w="1360" w:type="dxa"/>
            <w:vAlign w:val="bottom"/>
            <w:gridSpan w:val="3"/>
          </w:tcPr>
          <w:p>
            <w:pPr>
              <w:ind w:left="20"/>
              <w:spacing w:after="0" w:line="182" w:lineRule="exact"/>
              <w:rPr>
                <w:sz w:val="20"/>
                <w:szCs w:val="20"/>
                <w:color w:val="auto"/>
              </w:rPr>
            </w:pPr>
            <w:r>
              <w:rPr>
                <w:rFonts w:ascii="Arial" w:cs="Arial" w:eastAsia="Arial" w:hAnsi="Arial"/>
                <w:sz w:val="16"/>
                <w:szCs w:val="16"/>
                <w:color w:val="auto"/>
              </w:rPr>
              <w:t>Additional Paid-In</w:t>
            </w:r>
          </w:p>
        </w:tc>
        <w:tc>
          <w:tcPr>
            <w:tcW w:w="1240" w:type="dxa"/>
            <w:vAlign w:val="bottom"/>
            <w:gridSpan w:val="4"/>
          </w:tcPr>
          <w:p>
            <w:pPr>
              <w:jc w:val="right"/>
              <w:ind w:right="80"/>
              <w:spacing w:after="0" w:line="182" w:lineRule="exact"/>
              <w:rPr>
                <w:sz w:val="20"/>
                <w:szCs w:val="20"/>
                <w:color w:val="auto"/>
              </w:rPr>
            </w:pPr>
            <w:r>
              <w:rPr>
                <w:rFonts w:ascii="Arial" w:cs="Arial" w:eastAsia="Arial" w:hAnsi="Arial"/>
                <w:sz w:val="16"/>
                <w:szCs w:val="16"/>
                <w:color w:val="auto"/>
              </w:rPr>
              <w:t>Comprehensive</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200"/>
              <w:spacing w:after="0" w:line="182" w:lineRule="exact"/>
              <w:rPr>
                <w:sz w:val="20"/>
                <w:szCs w:val="20"/>
                <w:color w:val="auto"/>
              </w:rPr>
            </w:pPr>
            <w:r>
              <w:rPr>
                <w:rFonts w:ascii="Arial" w:cs="Arial" w:eastAsia="Arial" w:hAnsi="Arial"/>
                <w:sz w:val="16"/>
                <w:szCs w:val="16"/>
                <w:color w:val="auto"/>
                <w:w w:val="99"/>
              </w:rPr>
              <w:t>Comprehensive</w:t>
            </w:r>
          </w:p>
        </w:tc>
        <w:tc>
          <w:tcPr>
            <w:tcW w:w="1460" w:type="dxa"/>
            <w:vAlign w:val="bottom"/>
            <w:gridSpan w:val="4"/>
          </w:tcPr>
          <w:p>
            <w:pPr>
              <w:ind w:left="20"/>
              <w:spacing w:after="0" w:line="182" w:lineRule="exact"/>
              <w:rPr>
                <w:sz w:val="20"/>
                <w:szCs w:val="20"/>
                <w:color w:val="auto"/>
              </w:rPr>
            </w:pPr>
            <w:r>
              <w:rPr>
                <w:rFonts w:ascii="Arial" w:cs="Arial" w:eastAsia="Arial" w:hAnsi="Arial"/>
                <w:sz w:val="16"/>
                <w:szCs w:val="16"/>
                <w:color w:val="auto"/>
              </w:rPr>
              <w:t>Total Shareholders’</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gridSpan w:val="3"/>
          </w:tcPr>
          <w:p>
            <w:pPr>
              <w:jc w:val="right"/>
              <w:ind w:right="380"/>
              <w:spacing w:after="0"/>
              <w:rPr>
                <w:sz w:val="20"/>
                <w:szCs w:val="20"/>
                <w:color w:val="auto"/>
              </w:rPr>
            </w:pPr>
            <w:r>
              <w:rPr>
                <w:rFonts w:ascii="Arial" w:cs="Arial" w:eastAsia="Arial" w:hAnsi="Arial"/>
                <w:sz w:val="16"/>
                <w:szCs w:val="16"/>
                <w:color w:val="auto"/>
              </w:rPr>
              <w:t>Shares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right"/>
              <w:ind w:right="380"/>
              <w:spacing w:after="0"/>
              <w:rPr>
                <w:sz w:val="20"/>
                <w:szCs w:val="20"/>
                <w:color w:val="auto"/>
              </w:rPr>
            </w:pPr>
            <w:r>
              <w:rPr>
                <w:rFonts w:ascii="Arial" w:cs="Arial" w:eastAsia="Arial" w:hAnsi="Arial"/>
                <w:sz w:val="16"/>
                <w:szCs w:val="16"/>
                <w:color w:val="auto"/>
              </w:rPr>
              <w:t>Amount</w:t>
            </w:r>
          </w:p>
        </w:tc>
        <w:tc>
          <w:tcPr>
            <w:tcW w:w="240" w:type="dxa"/>
            <w:vAlign w:val="bottom"/>
          </w:tcPr>
          <w:p>
            <w:pPr>
              <w:spacing w:after="0"/>
              <w:rPr>
                <w:sz w:val="15"/>
                <w:szCs w:val="15"/>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6"/>
                <w:szCs w:val="16"/>
                <w:color w:val="auto"/>
              </w:rPr>
              <w:t>Capital</w:t>
            </w:r>
          </w:p>
        </w:tc>
        <w:tc>
          <w:tcPr>
            <w:tcW w:w="40" w:type="dxa"/>
            <w:vAlign w:val="bottom"/>
          </w:tcPr>
          <w:p>
            <w:pPr>
              <w:spacing w:after="0"/>
              <w:rPr>
                <w:sz w:val="15"/>
                <w:szCs w:val="15"/>
                <w:color w:val="auto"/>
              </w:rPr>
            </w:pPr>
          </w:p>
        </w:tc>
        <w:tc>
          <w:tcPr>
            <w:tcW w:w="1200" w:type="dxa"/>
            <w:vAlign w:val="bottom"/>
            <w:gridSpan w:val="3"/>
          </w:tcPr>
          <w:p>
            <w:pPr>
              <w:jc w:val="right"/>
              <w:ind w:right="120"/>
              <w:spacing w:after="0"/>
              <w:rPr>
                <w:sz w:val="20"/>
                <w:szCs w:val="20"/>
                <w:color w:val="auto"/>
              </w:rPr>
            </w:pPr>
            <w:r>
              <w:rPr>
                <w:rFonts w:ascii="Arial" w:cs="Arial" w:eastAsia="Arial" w:hAnsi="Arial"/>
                <w:sz w:val="16"/>
                <w:szCs w:val="16"/>
                <w:color w:val="auto"/>
              </w:rPr>
              <w:t>Income (Loss)</w:t>
            </w:r>
          </w:p>
        </w:tc>
        <w:tc>
          <w:tcPr>
            <w:tcW w:w="1460" w:type="dxa"/>
            <w:vAlign w:val="bottom"/>
            <w:gridSpan w:val="6"/>
          </w:tcPr>
          <w:p>
            <w:pPr>
              <w:ind w:left="40"/>
              <w:spacing w:after="0"/>
              <w:rPr>
                <w:sz w:val="20"/>
                <w:szCs w:val="20"/>
                <w:color w:val="auto"/>
              </w:rPr>
            </w:pPr>
            <w:r>
              <w:rPr>
                <w:rFonts w:ascii="Arial" w:cs="Arial" w:eastAsia="Arial" w:hAnsi="Arial"/>
                <w:sz w:val="16"/>
                <w:szCs w:val="16"/>
                <w:color w:val="auto"/>
              </w:rPr>
              <w:t>Retained Earnings</w:t>
            </w:r>
          </w:p>
        </w:tc>
        <w:tc>
          <w:tcPr>
            <w:tcW w:w="12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6"/>
                <w:szCs w:val="16"/>
                <w:color w:val="auto"/>
              </w:rPr>
              <w:t>Income (Loss)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6"/>
                <w:szCs w:val="16"/>
                <w:color w:val="auto"/>
              </w:rPr>
              <w:t>Investment</w:t>
            </w:r>
          </w:p>
        </w:tc>
        <w:tc>
          <w:tcPr>
            <w:tcW w:w="0" w:type="dxa"/>
            <w:vAlign w:val="bottom"/>
          </w:tcPr>
          <w:p>
            <w:pPr>
              <w:spacing w:after="0"/>
              <w:rPr>
                <w:sz w:val="1"/>
                <w:szCs w:val="1"/>
                <w:color w:val="auto"/>
              </w:rPr>
            </w:pPr>
          </w:p>
        </w:tc>
      </w:tr>
      <w:tr>
        <w:trPr>
          <w:trHeight w:val="174"/>
        </w:trPr>
        <w:tc>
          <w:tcPr>
            <w:tcW w:w="20" w:type="dxa"/>
            <w:vAlign w:val="bottom"/>
            <w:vMerge w:val="restart"/>
          </w:tcPr>
          <w:p>
            <w:pPr>
              <w:spacing w:after="0"/>
              <w:rPr>
                <w:sz w:val="15"/>
                <w:szCs w:val="15"/>
                <w:color w:val="auto"/>
              </w:rPr>
            </w:pPr>
          </w:p>
        </w:tc>
        <w:tc>
          <w:tcPr>
            <w:tcW w:w="1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0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BALANCE AS OF</w:t>
            </w: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DECEMBER 31, 2006</w:t>
            </w:r>
          </w:p>
        </w:tc>
        <w:tc>
          <w:tcPr>
            <w:tcW w:w="124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142,476,181</w:t>
            </w:r>
          </w:p>
        </w:tc>
        <w:tc>
          <w:tcPr>
            <w:tcW w:w="2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8,548,571</w:t>
            </w:r>
          </w:p>
        </w:tc>
        <w:tc>
          <w:tcPr>
            <w:tcW w:w="2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196,901,488</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472,192,400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25,051,830</w:t>
            </w: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702,694,289</w:t>
            </w:r>
          </w:p>
        </w:tc>
        <w:tc>
          <w:tcPr>
            <w:tcW w:w="0" w:type="dxa"/>
            <w:vAlign w:val="bottom"/>
          </w:tcPr>
          <w:p>
            <w:pPr>
              <w:spacing w:after="0"/>
              <w:rPr>
                <w:sz w:val="1"/>
                <w:szCs w:val="1"/>
                <w:color w:val="auto"/>
              </w:rPr>
            </w:pPr>
          </w:p>
        </w:tc>
      </w:tr>
      <w:tr>
        <w:trPr>
          <w:trHeight w:val="364"/>
        </w:trPr>
        <w:tc>
          <w:tcPr>
            <w:tcW w:w="2040" w:type="dxa"/>
            <w:vAlign w:val="bottom"/>
            <w:gridSpan w:val="3"/>
          </w:tcPr>
          <w:p>
            <w:pPr>
              <w:spacing w:after="0"/>
              <w:rPr>
                <w:sz w:val="20"/>
                <w:szCs w:val="20"/>
                <w:color w:val="auto"/>
              </w:rPr>
            </w:pPr>
            <w:r>
              <w:rPr>
                <w:rFonts w:ascii="Arial" w:cs="Arial" w:eastAsia="Arial" w:hAnsi="Arial"/>
                <w:sz w:val="16"/>
                <w:szCs w:val="16"/>
                <w:color w:val="auto"/>
              </w:rPr>
              <w:t>Issuance of common stock</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gridSpan w:val="2"/>
          </w:tcPr>
          <w:p>
            <w:pPr>
              <w:ind w:left="160"/>
              <w:spacing w:after="0" w:line="182" w:lineRule="exact"/>
              <w:rPr>
                <w:sz w:val="20"/>
                <w:szCs w:val="20"/>
                <w:color w:val="auto"/>
              </w:rPr>
            </w:pPr>
            <w:r>
              <w:rPr>
                <w:rFonts w:ascii="Arial" w:cs="Arial" w:eastAsia="Arial" w:hAnsi="Arial"/>
                <w:sz w:val="16"/>
                <w:szCs w:val="16"/>
                <w:color w:val="auto"/>
              </w:rPr>
              <w:t>and the tax benefit of</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20" w:type="dxa"/>
            <w:vAlign w:val="bottom"/>
            <w:gridSpan w:val="2"/>
          </w:tcPr>
          <w:p>
            <w:pPr>
              <w:ind w:left="160"/>
              <w:spacing w:after="0"/>
              <w:rPr>
                <w:sz w:val="20"/>
                <w:szCs w:val="20"/>
                <w:color w:val="auto"/>
              </w:rPr>
            </w:pPr>
            <w:r>
              <w:rPr>
                <w:rFonts w:ascii="Arial" w:cs="Arial" w:eastAsia="Arial" w:hAnsi="Arial"/>
                <w:sz w:val="16"/>
                <w:szCs w:val="16"/>
                <w:color w:val="auto"/>
              </w:rPr>
              <w:t>stock plan transactions</w:t>
            </w:r>
          </w:p>
        </w:tc>
        <w:tc>
          <w:tcPr>
            <w:tcW w:w="1240" w:type="dxa"/>
            <w:vAlign w:val="bottom"/>
            <w:gridSpan w:val="4"/>
          </w:tcPr>
          <w:p>
            <w:pPr>
              <w:jc w:val="right"/>
              <w:ind w:right="80"/>
              <w:spacing w:after="0"/>
              <w:rPr>
                <w:sz w:val="20"/>
                <w:szCs w:val="20"/>
                <w:color w:val="auto"/>
              </w:rPr>
            </w:pPr>
            <w:r>
              <w:rPr>
                <w:rFonts w:ascii="Arial" w:cs="Arial" w:eastAsia="Arial" w:hAnsi="Arial"/>
                <w:sz w:val="16"/>
                <w:szCs w:val="16"/>
                <w:color w:val="auto"/>
              </w:rPr>
              <w:t>2,725,817</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163,549</w:t>
            </w:r>
          </w:p>
        </w:tc>
        <w:tc>
          <w:tcPr>
            <w:tcW w:w="24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39,925,919</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40,089,468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Stock-based compensation</w:t>
            </w: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gridSpan w:val="2"/>
            <w:shd w:val="clear" w:color="auto" w:fill="CCEEFF"/>
          </w:tcPr>
          <w:p>
            <w:pPr>
              <w:ind w:left="160"/>
              <w:spacing w:after="0" w:line="182" w:lineRule="exact"/>
              <w:rPr>
                <w:sz w:val="20"/>
                <w:szCs w:val="20"/>
                <w:color w:val="auto"/>
              </w:rPr>
            </w:pPr>
            <w:r>
              <w:rPr>
                <w:rFonts w:ascii="Arial" w:cs="Arial" w:eastAsia="Arial" w:hAnsi="Arial"/>
                <w:sz w:val="16"/>
                <w:szCs w:val="16"/>
                <w:color w:val="auto"/>
              </w:rPr>
              <w:t>expense related to stock</w:t>
            </w: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gridSpan w:val="2"/>
            <w:shd w:val="clear" w:color="auto" w:fill="CCEEFF"/>
          </w:tcPr>
          <w:p>
            <w:pPr>
              <w:ind w:left="160"/>
              <w:spacing w:after="0" w:line="182" w:lineRule="exact"/>
              <w:rPr>
                <w:sz w:val="20"/>
                <w:szCs w:val="20"/>
                <w:color w:val="auto"/>
              </w:rPr>
            </w:pPr>
            <w:r>
              <w:rPr>
                <w:rFonts w:ascii="Arial" w:cs="Arial" w:eastAsia="Arial" w:hAnsi="Arial"/>
                <w:sz w:val="16"/>
                <w:szCs w:val="16"/>
                <w:color w:val="auto"/>
              </w:rPr>
              <w:t>options, employee stock</w:t>
            </w: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gridSpan w:val="2"/>
            <w:shd w:val="clear" w:color="auto" w:fill="CCEEFF"/>
          </w:tcPr>
          <w:p>
            <w:pPr>
              <w:ind w:left="160"/>
              <w:spacing w:after="0" w:line="182" w:lineRule="exact"/>
              <w:rPr>
                <w:sz w:val="20"/>
                <w:szCs w:val="20"/>
                <w:color w:val="auto"/>
              </w:rPr>
            </w:pPr>
            <w:r>
              <w:rPr>
                <w:rFonts w:ascii="Arial" w:cs="Arial" w:eastAsia="Arial" w:hAnsi="Arial"/>
                <w:sz w:val="16"/>
                <w:szCs w:val="16"/>
                <w:color w:val="auto"/>
              </w:rPr>
              <w:t>purchases and restricted</w:t>
            </w: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stock</w:t>
            </w:r>
          </w:p>
        </w:tc>
        <w:tc>
          <w:tcPr>
            <w:tcW w:w="6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9,293,394</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9,293,394</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20" w:type="dxa"/>
            <w:vAlign w:val="bottom"/>
            <w:gridSpan w:val="2"/>
          </w:tcPr>
          <w:p>
            <w:pPr>
              <w:spacing w:after="0" w:line="181" w:lineRule="exact"/>
              <w:rPr>
                <w:sz w:val="20"/>
                <w:szCs w:val="20"/>
                <w:color w:val="auto"/>
              </w:rPr>
            </w:pPr>
            <w:r>
              <w:rPr>
                <w:rFonts w:ascii="Arial" w:cs="Arial" w:eastAsia="Arial" w:hAnsi="Arial"/>
                <w:sz w:val="16"/>
                <w:szCs w:val="16"/>
                <w:color w:val="auto"/>
              </w:rPr>
              <w:t>Repurchases of common</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20" w:type="dxa"/>
            <w:vAlign w:val="bottom"/>
            <w:gridSpan w:val="2"/>
          </w:tcPr>
          <w:p>
            <w:pPr>
              <w:ind w:left="160"/>
              <w:spacing w:after="0"/>
              <w:rPr>
                <w:sz w:val="20"/>
                <w:szCs w:val="20"/>
                <w:color w:val="auto"/>
              </w:rPr>
            </w:pPr>
            <w:r>
              <w:rPr>
                <w:rFonts w:ascii="Arial" w:cs="Arial" w:eastAsia="Arial" w:hAnsi="Arial"/>
                <w:sz w:val="16"/>
                <w:szCs w:val="16"/>
                <w:color w:val="auto"/>
              </w:rPr>
              <w:t>stock</w:t>
            </w:r>
          </w:p>
        </w:tc>
        <w:tc>
          <w:tcPr>
            <w:tcW w:w="1240" w:type="dxa"/>
            <w:vAlign w:val="bottom"/>
            <w:gridSpan w:val="4"/>
          </w:tcPr>
          <w:p>
            <w:pPr>
              <w:jc w:val="right"/>
              <w:ind w:right="20"/>
              <w:spacing w:after="0"/>
              <w:rPr>
                <w:sz w:val="20"/>
                <w:szCs w:val="20"/>
                <w:color w:val="auto"/>
              </w:rPr>
            </w:pPr>
            <w:r>
              <w:rPr>
                <w:rFonts w:ascii="Arial" w:cs="Arial" w:eastAsia="Arial" w:hAnsi="Arial"/>
                <w:sz w:val="16"/>
                <w:szCs w:val="16"/>
                <w:color w:val="auto"/>
              </w:rPr>
              <w:t>(447,710)</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6"/>
                <w:szCs w:val="16"/>
                <w:color w:val="auto"/>
              </w:rPr>
              <w:t>(26,863)</w:t>
            </w:r>
          </w:p>
        </w:tc>
        <w:tc>
          <w:tcPr>
            <w:tcW w:w="24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(617,841)</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6"/>
                <w:szCs w:val="16"/>
                <w:color w:val="auto"/>
              </w:rPr>
              <w:t>(6,683,311)</w:t>
            </w:r>
          </w:p>
        </w:tc>
        <w:tc>
          <w:tcPr>
            <w:tcW w:w="12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(7,328,015)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Dividends declared ($.40</w:t>
            </w: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per share)</w:t>
            </w:r>
          </w:p>
        </w:tc>
        <w:tc>
          <w:tcPr>
            <w:tcW w:w="6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(57,348,829)</w:t>
            </w: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(57,348,829)</w:t>
            </w:r>
          </w:p>
        </w:tc>
        <w:tc>
          <w:tcPr>
            <w:tcW w:w="0" w:type="dxa"/>
            <w:vAlign w:val="bottom"/>
          </w:tcPr>
          <w:p>
            <w:pPr>
              <w:spacing w:after="0"/>
              <w:rPr>
                <w:sz w:val="1"/>
                <w:szCs w:val="1"/>
                <w:color w:val="auto"/>
              </w:rPr>
            </w:pPr>
          </w:p>
        </w:tc>
      </w:tr>
      <w:tr>
        <w:trPr>
          <w:trHeight w:val="365"/>
        </w:trPr>
        <w:tc>
          <w:tcPr>
            <w:tcW w:w="2040" w:type="dxa"/>
            <w:vAlign w:val="bottom"/>
            <w:gridSpan w:val="3"/>
          </w:tcPr>
          <w:p>
            <w:pPr>
              <w:spacing w:after="0"/>
              <w:rPr>
                <w:sz w:val="20"/>
                <w:szCs w:val="20"/>
                <w:color w:val="auto"/>
              </w:rPr>
            </w:pPr>
            <w:r>
              <w:rPr>
                <w:rFonts w:ascii="Arial" w:cs="Arial" w:eastAsia="Arial" w:hAnsi="Arial"/>
                <w:sz w:val="16"/>
                <w:szCs w:val="16"/>
                <w:color w:val="auto"/>
              </w:rPr>
              <w:t>Comprehensive income:</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gridSpan w:val="2"/>
            <w:shd w:val="clear" w:color="auto" w:fill="CCEEFF"/>
          </w:tcPr>
          <w:p>
            <w:pPr>
              <w:ind w:left="160"/>
              <w:spacing w:after="0" w:line="182" w:lineRule="exact"/>
              <w:rPr>
                <w:sz w:val="20"/>
                <w:szCs w:val="20"/>
                <w:color w:val="auto"/>
              </w:rPr>
            </w:pPr>
            <w:r>
              <w:rPr>
                <w:rFonts w:ascii="Arial" w:cs="Arial" w:eastAsia="Arial" w:hAnsi="Arial"/>
                <w:sz w:val="16"/>
                <w:szCs w:val="16"/>
                <w:color w:val="auto"/>
              </w:rPr>
              <w:t>Net income</w:t>
            </w:r>
          </w:p>
        </w:tc>
        <w:tc>
          <w:tcPr>
            <w:tcW w:w="6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122,130,021</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gridSpan w:val="4"/>
            <w:shd w:val="clear" w:color="auto" w:fill="CCEEFF"/>
          </w:tcPr>
          <w:p>
            <w:pPr>
              <w:jc w:val="right"/>
              <w:ind w:right="100"/>
              <w:spacing w:after="0" w:line="182" w:lineRule="exact"/>
              <w:rPr>
                <w:sz w:val="20"/>
                <w:szCs w:val="20"/>
                <w:color w:val="auto"/>
              </w:rPr>
            </w:pPr>
            <w:r>
              <w:rPr>
                <w:rFonts w:ascii="Arial" w:cs="Arial" w:eastAsia="Arial" w:hAnsi="Arial"/>
                <w:sz w:val="16"/>
                <w:szCs w:val="16"/>
                <w:color w:val="auto"/>
              </w:rPr>
              <w:t>122,130,021</w:t>
            </w: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122,130,021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20" w:type="dxa"/>
            <w:vAlign w:val="bottom"/>
            <w:gridSpan w:val="2"/>
          </w:tcPr>
          <w:p>
            <w:pPr>
              <w:ind w:left="160"/>
              <w:spacing w:after="0" w:line="181" w:lineRule="exact"/>
              <w:rPr>
                <w:sz w:val="20"/>
                <w:szCs w:val="20"/>
                <w:color w:val="auto"/>
              </w:rPr>
            </w:pPr>
            <w:r>
              <w:rPr>
                <w:rFonts w:ascii="Arial" w:cs="Arial" w:eastAsia="Arial" w:hAnsi="Arial"/>
                <w:sz w:val="16"/>
                <w:szCs w:val="16"/>
                <w:color w:val="auto"/>
              </w:rPr>
              <w:t>Other comprehensive</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20" w:type="dxa"/>
            <w:vAlign w:val="bottom"/>
            <w:gridSpan w:val="2"/>
          </w:tcPr>
          <w:p>
            <w:pPr>
              <w:ind w:left="340"/>
              <w:spacing w:after="0"/>
              <w:rPr>
                <w:sz w:val="20"/>
                <w:szCs w:val="20"/>
                <w:color w:val="auto"/>
              </w:rPr>
            </w:pPr>
            <w:r>
              <w:rPr>
                <w:rFonts w:ascii="Arial" w:cs="Arial" w:eastAsia="Arial" w:hAnsi="Arial"/>
                <w:sz w:val="16"/>
                <w:szCs w:val="16"/>
                <w:color w:val="auto"/>
              </w:rPr>
              <w:t>income (loss):</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20" w:type="dxa"/>
            <w:vAlign w:val="bottom"/>
            <w:gridSpan w:val="2"/>
            <w:shd w:val="clear" w:color="auto" w:fill="CCEEFF"/>
          </w:tcPr>
          <w:p>
            <w:pPr>
              <w:ind w:left="340"/>
              <w:spacing w:after="0" w:line="181" w:lineRule="exact"/>
              <w:rPr>
                <w:sz w:val="20"/>
                <w:szCs w:val="20"/>
                <w:color w:val="auto"/>
              </w:rPr>
            </w:pPr>
            <w:r>
              <w:rPr>
                <w:rFonts w:ascii="Arial" w:cs="Arial" w:eastAsia="Arial" w:hAnsi="Arial"/>
                <w:sz w:val="16"/>
                <w:szCs w:val="16"/>
                <w:color w:val="auto"/>
              </w:rPr>
              <w:t>Foreign currency</w:t>
            </w: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gridSpan w:val="2"/>
            <w:shd w:val="clear" w:color="auto" w:fill="CCEEFF"/>
          </w:tcPr>
          <w:p>
            <w:pPr>
              <w:ind w:left="520"/>
              <w:spacing w:after="0" w:line="182" w:lineRule="exact"/>
              <w:rPr>
                <w:sz w:val="20"/>
                <w:szCs w:val="20"/>
                <w:color w:val="auto"/>
              </w:rPr>
            </w:pPr>
            <w:r>
              <w:rPr>
                <w:rFonts w:ascii="Arial" w:cs="Arial" w:eastAsia="Arial" w:hAnsi="Arial"/>
                <w:sz w:val="16"/>
                <w:szCs w:val="16"/>
                <w:color w:val="auto"/>
              </w:rPr>
              <w:t>translation</w:t>
            </w: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adjustment</w:t>
            </w:r>
          </w:p>
        </w:tc>
        <w:tc>
          <w:tcPr>
            <w:tcW w:w="6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1,001,276</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20" w:type="dxa"/>
            <w:vAlign w:val="bottom"/>
            <w:gridSpan w:val="2"/>
          </w:tcPr>
          <w:p>
            <w:pPr>
              <w:ind w:left="340"/>
              <w:spacing w:after="0" w:line="181" w:lineRule="exact"/>
              <w:rPr>
                <w:sz w:val="20"/>
                <w:szCs w:val="20"/>
                <w:color w:val="auto"/>
              </w:rPr>
            </w:pPr>
            <w:r>
              <w:rPr>
                <w:rFonts w:ascii="Arial" w:cs="Arial" w:eastAsia="Arial" w:hAnsi="Arial"/>
                <w:sz w:val="16"/>
                <w:szCs w:val="16"/>
                <w:color w:val="auto"/>
              </w:rPr>
              <w:t>Unrealized gain</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gridSpan w:val="2"/>
          </w:tcPr>
          <w:p>
            <w:pPr>
              <w:ind w:left="520"/>
              <w:spacing w:after="0" w:line="182" w:lineRule="exact"/>
              <w:rPr>
                <w:sz w:val="20"/>
                <w:szCs w:val="20"/>
                <w:color w:val="auto"/>
              </w:rPr>
            </w:pPr>
            <w:r>
              <w:rPr>
                <w:rFonts w:ascii="Arial" w:cs="Arial" w:eastAsia="Arial" w:hAnsi="Arial"/>
                <w:sz w:val="16"/>
                <w:szCs w:val="16"/>
                <w:color w:val="auto"/>
              </w:rPr>
              <w:t>(loss) on</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gridSpan w:val="2"/>
          </w:tcPr>
          <w:p>
            <w:pPr>
              <w:ind w:left="520"/>
              <w:spacing w:after="0" w:line="182" w:lineRule="exact"/>
              <w:rPr>
                <w:sz w:val="20"/>
                <w:szCs w:val="20"/>
                <w:color w:val="auto"/>
              </w:rPr>
            </w:pPr>
            <w:r>
              <w:rPr>
                <w:rFonts w:ascii="Arial" w:cs="Arial" w:eastAsia="Arial" w:hAnsi="Arial"/>
                <w:sz w:val="16"/>
                <w:szCs w:val="16"/>
                <w:color w:val="auto"/>
              </w:rPr>
              <w:t>investments, net of</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020" w:type="dxa"/>
            <w:vAlign w:val="bottom"/>
            <w:gridSpan w:val="2"/>
          </w:tcPr>
          <w:p>
            <w:pPr>
              <w:ind w:left="520"/>
              <w:spacing w:after="0"/>
              <w:rPr>
                <w:sz w:val="20"/>
                <w:szCs w:val="20"/>
                <w:color w:val="auto"/>
              </w:rPr>
            </w:pPr>
            <w:r>
              <w:rPr>
                <w:rFonts w:ascii="Arial" w:cs="Arial" w:eastAsia="Arial" w:hAnsi="Arial"/>
                <w:sz w:val="16"/>
                <w:szCs w:val="16"/>
                <w:color w:val="auto"/>
              </w:rPr>
              <w:t>tax of ($2,002,756)</w:t>
            </w:r>
          </w:p>
        </w:tc>
        <w:tc>
          <w:tcPr>
            <w:tcW w:w="60" w:type="dxa"/>
            <w:vAlign w:val="bottom"/>
          </w:tcPr>
          <w:p>
            <w:pPr>
              <w:spacing w:after="0"/>
              <w:rPr>
                <w:sz w:val="16"/>
                <w:szCs w:val="16"/>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(3,719,408)</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20" w:type="dxa"/>
            <w:vAlign w:val="bottom"/>
            <w:gridSpan w:val="2"/>
            <w:shd w:val="clear" w:color="auto" w:fill="CCEEFF"/>
          </w:tcPr>
          <w:p>
            <w:pPr>
              <w:ind w:left="520"/>
              <w:spacing w:after="0" w:line="181" w:lineRule="exact"/>
              <w:rPr>
                <w:sz w:val="20"/>
                <w:szCs w:val="20"/>
                <w:color w:val="auto"/>
              </w:rPr>
            </w:pPr>
            <w:r>
              <w:rPr>
                <w:rFonts w:ascii="Arial" w:cs="Arial" w:eastAsia="Arial" w:hAnsi="Arial"/>
                <w:sz w:val="16"/>
                <w:szCs w:val="16"/>
                <w:color w:val="auto"/>
              </w:rPr>
              <w:t>Other</w:t>
            </w: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gridSpan w:val="2"/>
            <w:shd w:val="clear" w:color="auto" w:fill="CCEEFF"/>
          </w:tcPr>
          <w:p>
            <w:pPr>
              <w:ind w:left="700"/>
              <w:spacing w:after="0" w:line="182" w:lineRule="exact"/>
              <w:rPr>
                <w:sz w:val="20"/>
                <w:szCs w:val="20"/>
                <w:color w:val="auto"/>
              </w:rPr>
            </w:pPr>
            <w:r>
              <w:rPr>
                <w:rFonts w:ascii="Arial" w:cs="Arial" w:eastAsia="Arial" w:hAnsi="Arial"/>
                <w:sz w:val="16"/>
                <w:szCs w:val="16"/>
                <w:color w:val="auto"/>
              </w:rPr>
              <w:t>comprehensive</w:t>
            </w: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income (loss)</w:t>
            </w:r>
          </w:p>
        </w:tc>
        <w:tc>
          <w:tcPr>
            <w:tcW w:w="6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(2,718,132)</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(2,718,132)</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(2,718,132)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20" w:type="dxa"/>
            <w:vAlign w:val="bottom"/>
            <w:gridSpan w:val="2"/>
          </w:tcPr>
          <w:p>
            <w:pPr>
              <w:ind w:left="700"/>
              <w:spacing w:after="0"/>
              <w:rPr>
                <w:sz w:val="20"/>
                <w:szCs w:val="20"/>
                <w:color w:val="auto"/>
              </w:rPr>
            </w:pPr>
            <w:r>
              <w:rPr>
                <w:rFonts w:ascii="Arial" w:cs="Arial" w:eastAsia="Arial" w:hAnsi="Arial"/>
                <w:sz w:val="16"/>
                <w:szCs w:val="16"/>
                <w:color w:val="auto"/>
              </w:rPr>
              <w:t>Comprehensive</w:t>
            </w: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20" w:type="dxa"/>
            <w:vAlign w:val="bottom"/>
            <w:gridSpan w:val="2"/>
          </w:tcPr>
          <w:p>
            <w:pPr>
              <w:ind w:left="880"/>
              <w:spacing w:after="0"/>
              <w:rPr>
                <w:sz w:val="20"/>
                <w:szCs w:val="20"/>
                <w:color w:val="auto"/>
              </w:rPr>
            </w:pPr>
            <w:r>
              <w:rPr>
                <w:rFonts w:ascii="Arial" w:cs="Arial" w:eastAsia="Arial" w:hAnsi="Arial"/>
                <w:sz w:val="16"/>
                <w:szCs w:val="16"/>
                <w:color w:val="auto"/>
              </w:rPr>
              <w:t>income</w:t>
            </w:r>
          </w:p>
        </w:tc>
        <w:tc>
          <w:tcPr>
            <w:tcW w:w="60" w:type="dxa"/>
            <w:vAlign w:val="bottom"/>
          </w:tcPr>
          <w:p>
            <w:pPr>
              <w:spacing w:after="0"/>
              <w:rPr>
                <w:sz w:val="15"/>
                <w:szCs w:val="15"/>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320" w:type="dxa"/>
            <w:vAlign w:val="bottom"/>
            <w:gridSpan w:val="4"/>
          </w:tcPr>
          <w:p>
            <w:pPr>
              <w:jc w:val="right"/>
              <w:spacing w:after="0"/>
              <w:rPr>
                <w:sz w:val="20"/>
                <w:szCs w:val="20"/>
                <w:color w:val="auto"/>
              </w:rPr>
            </w:pPr>
            <w:r>
              <w:rPr>
                <w:rFonts w:ascii="Arial" w:cs="Arial" w:eastAsia="Arial" w:hAnsi="Arial"/>
                <w:sz w:val="16"/>
                <w:szCs w:val="16"/>
                <w:color w:val="auto"/>
              </w:rPr>
              <w:t>— $</w:t>
            </w: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119,411,889</w:t>
            </w: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0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BALANCE AS OF</w:t>
            </w: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DECEMBER 31, 2007</w:t>
            </w:r>
          </w:p>
        </w:tc>
        <w:tc>
          <w:tcPr>
            <w:tcW w:w="124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144,754,288</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8,685,257</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245,502,960</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530,290,281</w:t>
            </w: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22,333,698</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806,812,196</w:t>
            </w:r>
          </w:p>
        </w:tc>
        <w:tc>
          <w:tcPr>
            <w:tcW w:w="0" w:type="dxa"/>
            <w:vAlign w:val="bottom"/>
          </w:tcPr>
          <w:p>
            <w:pPr>
              <w:spacing w:after="0"/>
              <w:rPr>
                <w:sz w:val="1"/>
                <w:szCs w:val="1"/>
                <w:color w:val="auto"/>
              </w:rPr>
            </w:pPr>
          </w:p>
        </w:tc>
      </w:tr>
      <w:tr>
        <w:trPr>
          <w:trHeight w:val="364"/>
        </w:trPr>
        <w:tc>
          <w:tcPr>
            <w:tcW w:w="2040" w:type="dxa"/>
            <w:vAlign w:val="bottom"/>
            <w:gridSpan w:val="3"/>
          </w:tcPr>
          <w:p>
            <w:pPr>
              <w:spacing w:after="0"/>
              <w:rPr>
                <w:sz w:val="20"/>
                <w:szCs w:val="20"/>
                <w:color w:val="auto"/>
              </w:rPr>
            </w:pPr>
            <w:r>
              <w:rPr>
                <w:rFonts w:ascii="Arial" w:cs="Arial" w:eastAsia="Arial" w:hAnsi="Arial"/>
                <w:sz w:val="16"/>
                <w:szCs w:val="16"/>
                <w:color w:val="auto"/>
              </w:rPr>
              <w:t>Issuance of common stock</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gridSpan w:val="2"/>
          </w:tcPr>
          <w:p>
            <w:pPr>
              <w:ind w:left="160"/>
              <w:spacing w:after="0" w:line="182" w:lineRule="exact"/>
              <w:rPr>
                <w:sz w:val="20"/>
                <w:szCs w:val="20"/>
                <w:color w:val="auto"/>
              </w:rPr>
            </w:pPr>
            <w:r>
              <w:rPr>
                <w:rFonts w:ascii="Arial" w:cs="Arial" w:eastAsia="Arial" w:hAnsi="Arial"/>
                <w:sz w:val="16"/>
                <w:szCs w:val="16"/>
                <w:color w:val="auto"/>
              </w:rPr>
              <w:t>and the tax benefit of</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20" w:type="dxa"/>
            <w:vAlign w:val="bottom"/>
            <w:gridSpan w:val="2"/>
          </w:tcPr>
          <w:p>
            <w:pPr>
              <w:ind w:left="160"/>
              <w:spacing w:after="0"/>
              <w:rPr>
                <w:sz w:val="20"/>
                <w:szCs w:val="20"/>
                <w:color w:val="auto"/>
              </w:rPr>
            </w:pPr>
            <w:r>
              <w:rPr>
                <w:rFonts w:ascii="Arial" w:cs="Arial" w:eastAsia="Arial" w:hAnsi="Arial"/>
                <w:sz w:val="16"/>
                <w:szCs w:val="16"/>
                <w:color w:val="auto"/>
              </w:rPr>
              <w:t>stock plan transactions</w:t>
            </w:r>
          </w:p>
        </w:tc>
        <w:tc>
          <w:tcPr>
            <w:tcW w:w="1240" w:type="dxa"/>
            <w:vAlign w:val="bottom"/>
            <w:gridSpan w:val="4"/>
          </w:tcPr>
          <w:p>
            <w:pPr>
              <w:jc w:val="right"/>
              <w:ind w:right="80"/>
              <w:spacing w:after="0"/>
              <w:rPr>
                <w:sz w:val="20"/>
                <w:szCs w:val="20"/>
                <w:color w:val="auto"/>
              </w:rPr>
            </w:pPr>
            <w:r>
              <w:rPr>
                <w:rFonts w:ascii="Arial" w:cs="Arial" w:eastAsia="Arial" w:hAnsi="Arial"/>
                <w:sz w:val="16"/>
                <w:szCs w:val="16"/>
                <w:color w:val="auto"/>
              </w:rPr>
              <w:t>927,932</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55,676</w:t>
            </w:r>
          </w:p>
        </w:tc>
        <w:tc>
          <w:tcPr>
            <w:tcW w:w="24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11,759,832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11,815,508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Stock-based compensation</w:t>
            </w: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gridSpan w:val="2"/>
            <w:shd w:val="clear" w:color="auto" w:fill="CCEEFF"/>
          </w:tcPr>
          <w:p>
            <w:pPr>
              <w:ind w:left="160"/>
              <w:spacing w:after="0" w:line="182" w:lineRule="exact"/>
              <w:rPr>
                <w:sz w:val="20"/>
                <w:szCs w:val="20"/>
                <w:color w:val="auto"/>
              </w:rPr>
            </w:pPr>
            <w:r>
              <w:rPr>
                <w:rFonts w:ascii="Arial" w:cs="Arial" w:eastAsia="Arial" w:hAnsi="Arial"/>
                <w:sz w:val="16"/>
                <w:szCs w:val="16"/>
                <w:color w:val="auto"/>
              </w:rPr>
              <w:t>expense related to stock</w:t>
            </w: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gridSpan w:val="2"/>
            <w:shd w:val="clear" w:color="auto" w:fill="CCEEFF"/>
          </w:tcPr>
          <w:p>
            <w:pPr>
              <w:ind w:left="160"/>
              <w:spacing w:after="0" w:line="182" w:lineRule="exact"/>
              <w:rPr>
                <w:sz w:val="20"/>
                <w:szCs w:val="20"/>
                <w:color w:val="auto"/>
              </w:rPr>
            </w:pPr>
            <w:r>
              <w:rPr>
                <w:rFonts w:ascii="Arial" w:cs="Arial" w:eastAsia="Arial" w:hAnsi="Arial"/>
                <w:sz w:val="16"/>
                <w:szCs w:val="16"/>
                <w:color w:val="auto"/>
              </w:rPr>
              <w:t>options, employee stock</w:t>
            </w: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gridSpan w:val="2"/>
            <w:shd w:val="clear" w:color="auto" w:fill="CCEEFF"/>
          </w:tcPr>
          <w:p>
            <w:pPr>
              <w:ind w:left="160"/>
              <w:spacing w:after="0" w:line="182" w:lineRule="exact"/>
              <w:rPr>
                <w:sz w:val="20"/>
                <w:szCs w:val="20"/>
                <w:color w:val="auto"/>
              </w:rPr>
            </w:pPr>
            <w:r>
              <w:rPr>
                <w:rFonts w:ascii="Arial" w:cs="Arial" w:eastAsia="Arial" w:hAnsi="Arial"/>
                <w:sz w:val="16"/>
                <w:szCs w:val="16"/>
                <w:color w:val="auto"/>
              </w:rPr>
              <w:t>purchases and restricted</w:t>
            </w: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stock</w:t>
            </w:r>
          </w:p>
        </w:tc>
        <w:tc>
          <w:tcPr>
            <w:tcW w:w="6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10,217,484</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10,217,484</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20" w:type="dxa"/>
            <w:vAlign w:val="bottom"/>
            <w:gridSpan w:val="2"/>
          </w:tcPr>
          <w:p>
            <w:pPr>
              <w:spacing w:after="0" w:line="181" w:lineRule="exact"/>
              <w:rPr>
                <w:sz w:val="20"/>
                <w:szCs w:val="20"/>
                <w:color w:val="auto"/>
              </w:rPr>
            </w:pPr>
            <w:r>
              <w:rPr>
                <w:rFonts w:ascii="Arial" w:cs="Arial" w:eastAsia="Arial" w:hAnsi="Arial"/>
                <w:sz w:val="16"/>
                <w:szCs w:val="16"/>
                <w:color w:val="auto"/>
              </w:rPr>
              <w:t>Repurchases of common</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20" w:type="dxa"/>
            <w:vAlign w:val="bottom"/>
            <w:gridSpan w:val="2"/>
          </w:tcPr>
          <w:p>
            <w:pPr>
              <w:ind w:left="160"/>
              <w:spacing w:after="0"/>
              <w:rPr>
                <w:sz w:val="20"/>
                <w:szCs w:val="20"/>
                <w:color w:val="auto"/>
              </w:rPr>
            </w:pPr>
            <w:r>
              <w:rPr>
                <w:rFonts w:ascii="Arial" w:cs="Arial" w:eastAsia="Arial" w:hAnsi="Arial"/>
                <w:sz w:val="16"/>
                <w:szCs w:val="16"/>
                <w:color w:val="auto"/>
              </w:rPr>
              <w:t>stock</w:t>
            </w:r>
          </w:p>
        </w:tc>
        <w:tc>
          <w:tcPr>
            <w:tcW w:w="1240" w:type="dxa"/>
            <w:vAlign w:val="bottom"/>
            <w:gridSpan w:val="4"/>
          </w:tcPr>
          <w:p>
            <w:pPr>
              <w:jc w:val="right"/>
              <w:ind w:right="20"/>
              <w:spacing w:after="0"/>
              <w:rPr>
                <w:sz w:val="20"/>
                <w:szCs w:val="20"/>
                <w:color w:val="auto"/>
              </w:rPr>
            </w:pPr>
            <w:r>
              <w:rPr>
                <w:rFonts w:ascii="Arial" w:cs="Arial" w:eastAsia="Arial" w:hAnsi="Arial"/>
                <w:sz w:val="16"/>
                <w:szCs w:val="16"/>
                <w:color w:val="auto"/>
              </w:rPr>
              <w:t>(8,048,718)</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right"/>
              <w:ind w:right="40"/>
              <w:spacing w:after="0"/>
              <w:rPr>
                <w:sz w:val="20"/>
                <w:szCs w:val="20"/>
                <w:color w:val="auto"/>
              </w:rPr>
            </w:pPr>
            <w:r>
              <w:rPr>
                <w:rFonts w:ascii="Arial" w:cs="Arial" w:eastAsia="Arial" w:hAnsi="Arial"/>
                <w:sz w:val="16"/>
                <w:szCs w:val="16"/>
                <w:color w:val="auto"/>
              </w:rPr>
              <w:t>(482,923)</w:t>
            </w:r>
          </w:p>
        </w:tc>
        <w:tc>
          <w:tcPr>
            <w:tcW w:w="240" w:type="dxa"/>
            <w:vAlign w:val="bottom"/>
          </w:tcPr>
          <w:p>
            <w:pPr>
              <w:spacing w:after="0"/>
              <w:rPr>
                <w:sz w:val="15"/>
                <w:szCs w:val="15"/>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6"/>
                <w:szCs w:val="16"/>
                <w:color w:val="auto"/>
              </w:rPr>
              <w:t>(13,658,913)</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gridSpan w:val="4"/>
          </w:tcPr>
          <w:p>
            <w:pPr>
              <w:jc w:val="right"/>
              <w:ind w:right="40"/>
              <w:spacing w:after="0"/>
              <w:rPr>
                <w:sz w:val="20"/>
                <w:szCs w:val="20"/>
                <w:color w:val="auto"/>
              </w:rPr>
            </w:pPr>
            <w:r>
              <w:rPr>
                <w:rFonts w:ascii="Arial" w:cs="Arial" w:eastAsia="Arial" w:hAnsi="Arial"/>
                <w:sz w:val="16"/>
                <w:szCs w:val="16"/>
                <w:color w:val="auto"/>
              </w:rPr>
              <w:t>(97,117,967)</w:t>
            </w:r>
          </w:p>
        </w:tc>
        <w:tc>
          <w:tcPr>
            <w:tcW w:w="12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spacing w:after="0"/>
              <w:rPr>
                <w:sz w:val="20"/>
                <w:szCs w:val="20"/>
                <w:color w:val="auto"/>
              </w:rPr>
            </w:pPr>
            <w:r>
              <w:rPr>
                <w:rFonts w:ascii="Arial" w:cs="Arial" w:eastAsia="Arial" w:hAnsi="Arial"/>
                <w:sz w:val="16"/>
                <w:szCs w:val="16"/>
                <w:color w:val="auto"/>
              </w:rPr>
              <w:t>(111,259,803)</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Dividends declared ($.43</w:t>
            </w: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per share)</w:t>
            </w:r>
          </w:p>
        </w:tc>
        <w:tc>
          <w:tcPr>
            <w:tcW w:w="6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(60,284,747)</w:t>
            </w: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(60,284,747)</w:t>
            </w:r>
          </w:p>
        </w:tc>
        <w:tc>
          <w:tcPr>
            <w:tcW w:w="0" w:type="dxa"/>
            <w:vAlign w:val="bottom"/>
          </w:tcPr>
          <w:p>
            <w:pPr>
              <w:spacing w:after="0"/>
              <w:rPr>
                <w:sz w:val="1"/>
                <w:szCs w:val="1"/>
                <w:color w:val="auto"/>
              </w:rPr>
            </w:pPr>
          </w:p>
        </w:tc>
      </w:tr>
      <w:tr>
        <w:trPr>
          <w:trHeight w:val="365"/>
        </w:trPr>
        <w:tc>
          <w:tcPr>
            <w:tcW w:w="2040" w:type="dxa"/>
            <w:vAlign w:val="bottom"/>
            <w:gridSpan w:val="3"/>
          </w:tcPr>
          <w:p>
            <w:pPr>
              <w:spacing w:after="0"/>
              <w:rPr>
                <w:sz w:val="20"/>
                <w:szCs w:val="20"/>
                <w:color w:val="auto"/>
              </w:rPr>
            </w:pPr>
            <w:r>
              <w:rPr>
                <w:rFonts w:ascii="Arial" w:cs="Arial" w:eastAsia="Arial" w:hAnsi="Arial"/>
                <w:sz w:val="16"/>
                <w:szCs w:val="16"/>
                <w:color w:val="auto"/>
              </w:rPr>
              <w:t>Comprehensive income:</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gridSpan w:val="2"/>
            <w:shd w:val="clear" w:color="auto" w:fill="CCEEFF"/>
          </w:tcPr>
          <w:p>
            <w:pPr>
              <w:ind w:left="160"/>
              <w:spacing w:after="0" w:line="182" w:lineRule="exact"/>
              <w:rPr>
                <w:sz w:val="20"/>
                <w:szCs w:val="20"/>
                <w:color w:val="auto"/>
              </w:rPr>
            </w:pPr>
            <w:r>
              <w:rPr>
                <w:rFonts w:ascii="Arial" w:cs="Arial" w:eastAsia="Arial" w:hAnsi="Arial"/>
                <w:sz w:val="16"/>
                <w:szCs w:val="16"/>
                <w:color w:val="auto"/>
              </w:rPr>
              <w:t>Net income</w:t>
            </w:r>
          </w:p>
        </w:tc>
        <w:tc>
          <w:tcPr>
            <w:tcW w:w="6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62,087,947</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spacing w:after="0" w:line="182" w:lineRule="exact"/>
              <w:rPr>
                <w:sz w:val="20"/>
                <w:szCs w:val="20"/>
                <w:color w:val="auto"/>
              </w:rPr>
            </w:pPr>
            <w:r>
              <w:rPr>
                <w:rFonts w:ascii="Arial" w:cs="Arial" w:eastAsia="Arial" w:hAnsi="Arial"/>
                <w:sz w:val="16"/>
                <w:szCs w:val="16"/>
                <w:color w:val="auto"/>
              </w:rPr>
              <w:t>62,087,947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62,087,947</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20" w:type="dxa"/>
            <w:vAlign w:val="bottom"/>
            <w:gridSpan w:val="2"/>
          </w:tcPr>
          <w:p>
            <w:pPr>
              <w:ind w:left="160"/>
              <w:spacing w:after="0" w:line="181" w:lineRule="exact"/>
              <w:rPr>
                <w:sz w:val="20"/>
                <w:szCs w:val="20"/>
                <w:color w:val="auto"/>
              </w:rPr>
            </w:pPr>
            <w:r>
              <w:rPr>
                <w:rFonts w:ascii="Arial" w:cs="Arial" w:eastAsia="Arial" w:hAnsi="Arial"/>
                <w:sz w:val="16"/>
                <w:szCs w:val="16"/>
                <w:color w:val="auto"/>
              </w:rPr>
              <w:t>Other comprehensive</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20" w:type="dxa"/>
            <w:vAlign w:val="bottom"/>
            <w:gridSpan w:val="2"/>
          </w:tcPr>
          <w:p>
            <w:pPr>
              <w:ind w:left="340"/>
              <w:spacing w:after="0"/>
              <w:rPr>
                <w:sz w:val="20"/>
                <w:szCs w:val="20"/>
                <w:color w:val="auto"/>
              </w:rPr>
            </w:pPr>
            <w:r>
              <w:rPr>
                <w:rFonts w:ascii="Arial" w:cs="Arial" w:eastAsia="Arial" w:hAnsi="Arial"/>
                <w:sz w:val="16"/>
                <w:szCs w:val="16"/>
                <w:color w:val="auto"/>
              </w:rPr>
              <w:t>income (loss):</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20" w:type="dxa"/>
            <w:vAlign w:val="bottom"/>
            <w:gridSpan w:val="2"/>
            <w:shd w:val="clear" w:color="auto" w:fill="CCEEFF"/>
          </w:tcPr>
          <w:p>
            <w:pPr>
              <w:ind w:left="340"/>
              <w:spacing w:after="0" w:line="181" w:lineRule="exact"/>
              <w:rPr>
                <w:sz w:val="20"/>
                <w:szCs w:val="20"/>
                <w:color w:val="auto"/>
              </w:rPr>
            </w:pPr>
            <w:r>
              <w:rPr>
                <w:rFonts w:ascii="Arial" w:cs="Arial" w:eastAsia="Arial" w:hAnsi="Arial"/>
                <w:sz w:val="16"/>
                <w:szCs w:val="16"/>
                <w:color w:val="auto"/>
              </w:rPr>
              <w:t>Foreign currency</w:t>
            </w: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gridSpan w:val="2"/>
            <w:shd w:val="clear" w:color="auto" w:fill="CCEEFF"/>
          </w:tcPr>
          <w:p>
            <w:pPr>
              <w:ind w:left="520"/>
              <w:spacing w:after="0" w:line="182" w:lineRule="exact"/>
              <w:rPr>
                <w:sz w:val="20"/>
                <w:szCs w:val="20"/>
                <w:color w:val="auto"/>
              </w:rPr>
            </w:pPr>
            <w:r>
              <w:rPr>
                <w:rFonts w:ascii="Arial" w:cs="Arial" w:eastAsia="Arial" w:hAnsi="Arial"/>
                <w:sz w:val="16"/>
                <w:szCs w:val="16"/>
                <w:color w:val="auto"/>
              </w:rPr>
              <w:t>translation</w:t>
            </w: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2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adjustment</w:t>
            </w:r>
          </w:p>
        </w:tc>
        <w:tc>
          <w:tcPr>
            <w:tcW w:w="6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(1,648,309)</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20" w:type="dxa"/>
            <w:vAlign w:val="bottom"/>
            <w:gridSpan w:val="2"/>
          </w:tcPr>
          <w:p>
            <w:pPr>
              <w:ind w:left="340"/>
              <w:spacing w:after="0" w:line="181" w:lineRule="exact"/>
              <w:rPr>
                <w:sz w:val="20"/>
                <w:szCs w:val="20"/>
                <w:color w:val="auto"/>
              </w:rPr>
            </w:pPr>
            <w:r>
              <w:rPr>
                <w:rFonts w:ascii="Arial" w:cs="Arial" w:eastAsia="Arial" w:hAnsi="Arial"/>
                <w:sz w:val="16"/>
                <w:szCs w:val="16"/>
                <w:color w:val="auto"/>
              </w:rPr>
              <w:t>Unrealized gain</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gridSpan w:val="2"/>
          </w:tcPr>
          <w:p>
            <w:pPr>
              <w:ind w:left="520"/>
              <w:spacing w:after="0" w:line="182" w:lineRule="exact"/>
              <w:rPr>
                <w:sz w:val="20"/>
                <w:szCs w:val="20"/>
                <w:color w:val="auto"/>
              </w:rPr>
            </w:pPr>
            <w:r>
              <w:rPr>
                <w:rFonts w:ascii="Arial" w:cs="Arial" w:eastAsia="Arial" w:hAnsi="Arial"/>
                <w:sz w:val="16"/>
                <w:szCs w:val="16"/>
                <w:color w:val="auto"/>
              </w:rPr>
              <w:t>(loss) on</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gridSpan w:val="2"/>
          </w:tcPr>
          <w:p>
            <w:pPr>
              <w:ind w:left="520"/>
              <w:spacing w:after="0" w:line="182" w:lineRule="exact"/>
              <w:rPr>
                <w:sz w:val="20"/>
                <w:szCs w:val="20"/>
                <w:color w:val="auto"/>
              </w:rPr>
            </w:pPr>
            <w:r>
              <w:rPr>
                <w:rFonts w:ascii="Arial" w:cs="Arial" w:eastAsia="Arial" w:hAnsi="Arial"/>
                <w:sz w:val="16"/>
                <w:szCs w:val="16"/>
                <w:color w:val="auto"/>
              </w:rPr>
              <w:t>investments, net of</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020" w:type="dxa"/>
            <w:vAlign w:val="bottom"/>
            <w:gridSpan w:val="2"/>
          </w:tcPr>
          <w:p>
            <w:pPr>
              <w:ind w:left="520"/>
              <w:spacing w:after="0"/>
              <w:rPr>
                <w:sz w:val="20"/>
                <w:szCs w:val="20"/>
                <w:color w:val="auto"/>
              </w:rPr>
            </w:pPr>
            <w:r>
              <w:rPr>
                <w:rFonts w:ascii="Arial" w:cs="Arial" w:eastAsia="Arial" w:hAnsi="Arial"/>
                <w:sz w:val="16"/>
                <w:szCs w:val="16"/>
                <w:color w:val="auto"/>
              </w:rPr>
              <w:t>tax of ($10,308,288)</w:t>
            </w:r>
          </w:p>
        </w:tc>
        <w:tc>
          <w:tcPr>
            <w:tcW w:w="60" w:type="dxa"/>
            <w:vAlign w:val="bottom"/>
          </w:tcPr>
          <w:p>
            <w:pPr>
              <w:spacing w:after="0"/>
              <w:rPr>
                <w:sz w:val="16"/>
                <w:szCs w:val="16"/>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(19,143,954)</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20" w:type="dxa"/>
            <w:vAlign w:val="bottom"/>
            <w:gridSpan w:val="2"/>
            <w:shd w:val="clear" w:color="auto" w:fill="CCEEFF"/>
          </w:tcPr>
          <w:p>
            <w:pPr>
              <w:ind w:left="520"/>
              <w:spacing w:after="0" w:line="181" w:lineRule="exact"/>
              <w:rPr>
                <w:sz w:val="20"/>
                <w:szCs w:val="20"/>
                <w:color w:val="auto"/>
              </w:rPr>
            </w:pPr>
            <w:r>
              <w:rPr>
                <w:rFonts w:ascii="Arial" w:cs="Arial" w:eastAsia="Arial" w:hAnsi="Arial"/>
                <w:sz w:val="16"/>
                <w:szCs w:val="16"/>
                <w:color w:val="auto"/>
              </w:rPr>
              <w:t>Other</w:t>
            </w: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gridSpan w:val="2"/>
            <w:shd w:val="clear" w:color="auto" w:fill="CCEEFF"/>
          </w:tcPr>
          <w:p>
            <w:pPr>
              <w:ind w:left="700"/>
              <w:spacing w:after="0" w:line="182" w:lineRule="exact"/>
              <w:rPr>
                <w:sz w:val="20"/>
                <w:szCs w:val="20"/>
                <w:color w:val="auto"/>
              </w:rPr>
            </w:pPr>
            <w:r>
              <w:rPr>
                <w:rFonts w:ascii="Arial" w:cs="Arial" w:eastAsia="Arial" w:hAnsi="Arial"/>
                <w:sz w:val="16"/>
                <w:szCs w:val="16"/>
                <w:color w:val="auto"/>
              </w:rPr>
              <w:t>comprehensive</w:t>
            </w: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20" w:type="dxa"/>
            <w:vAlign w:val="bottom"/>
            <w:gridSpan w:val="2"/>
            <w:shd w:val="clear" w:color="auto" w:fill="CCEEFF"/>
          </w:tcPr>
          <w:p>
            <w:pPr>
              <w:ind w:left="700"/>
              <w:spacing w:after="0"/>
              <w:rPr>
                <w:sz w:val="20"/>
                <w:szCs w:val="20"/>
                <w:color w:val="auto"/>
              </w:rPr>
            </w:pPr>
            <w:r>
              <w:rPr>
                <w:rFonts w:ascii="Arial" w:cs="Arial" w:eastAsia="Arial" w:hAnsi="Arial"/>
                <w:sz w:val="16"/>
                <w:szCs w:val="16"/>
                <w:color w:val="auto"/>
              </w:rPr>
              <w:t>income (loss)</w:t>
            </w:r>
          </w:p>
        </w:tc>
        <w:tc>
          <w:tcPr>
            <w:tcW w:w="6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(20,792,263)</w:t>
            </w: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(20,792,263)</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(20,792,263)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20" w:type="dxa"/>
            <w:vAlign w:val="bottom"/>
            <w:gridSpan w:val="2"/>
          </w:tcPr>
          <w:p>
            <w:pPr>
              <w:ind w:left="700"/>
              <w:spacing w:after="0"/>
              <w:rPr>
                <w:sz w:val="20"/>
                <w:szCs w:val="20"/>
                <w:color w:val="auto"/>
              </w:rPr>
            </w:pPr>
            <w:r>
              <w:rPr>
                <w:rFonts w:ascii="Arial" w:cs="Arial" w:eastAsia="Arial" w:hAnsi="Arial"/>
                <w:sz w:val="16"/>
                <w:szCs w:val="16"/>
                <w:color w:val="auto"/>
              </w:rPr>
              <w:t>Comprehensive</w:t>
            </w: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20" w:type="dxa"/>
            <w:vAlign w:val="bottom"/>
            <w:gridSpan w:val="2"/>
          </w:tcPr>
          <w:p>
            <w:pPr>
              <w:ind w:left="880"/>
              <w:spacing w:after="0"/>
              <w:rPr>
                <w:sz w:val="20"/>
                <w:szCs w:val="20"/>
                <w:color w:val="auto"/>
              </w:rPr>
            </w:pPr>
            <w:r>
              <w:rPr>
                <w:rFonts w:ascii="Arial" w:cs="Arial" w:eastAsia="Arial" w:hAnsi="Arial"/>
                <w:sz w:val="16"/>
                <w:szCs w:val="16"/>
                <w:color w:val="auto"/>
              </w:rPr>
              <w:t>income</w:t>
            </w:r>
          </w:p>
        </w:tc>
        <w:tc>
          <w:tcPr>
            <w:tcW w:w="60" w:type="dxa"/>
            <w:vAlign w:val="bottom"/>
          </w:tcPr>
          <w:p>
            <w:pPr>
              <w:spacing w:after="0"/>
              <w:rPr>
                <w:sz w:val="15"/>
                <w:szCs w:val="15"/>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320" w:type="dxa"/>
            <w:vAlign w:val="bottom"/>
            <w:gridSpan w:val="4"/>
          </w:tcPr>
          <w:p>
            <w:pPr>
              <w:jc w:val="right"/>
              <w:spacing w:after="0"/>
              <w:rPr>
                <w:sz w:val="20"/>
                <w:szCs w:val="20"/>
                <w:color w:val="auto"/>
              </w:rPr>
            </w:pPr>
            <w:r>
              <w:rPr>
                <w:rFonts w:ascii="Arial" w:cs="Arial" w:eastAsia="Arial" w:hAnsi="Arial"/>
                <w:sz w:val="16"/>
                <w:szCs w:val="16"/>
                <w:color w:val="auto"/>
              </w:rPr>
              <w:t>— $</w:t>
            </w:r>
          </w:p>
        </w:tc>
        <w:tc>
          <w:tcPr>
            <w:tcW w:w="960" w:type="dxa"/>
            <w:vAlign w:val="bottom"/>
          </w:tcPr>
          <w:p>
            <w:pPr>
              <w:jc w:val="right"/>
              <w:spacing w:after="0"/>
              <w:rPr>
                <w:sz w:val="20"/>
                <w:szCs w:val="20"/>
                <w:color w:val="auto"/>
              </w:rPr>
            </w:pPr>
            <w:r>
              <w:rPr>
                <w:rFonts w:ascii="Arial" w:cs="Arial" w:eastAsia="Arial" w:hAnsi="Arial"/>
                <w:sz w:val="16"/>
                <w:szCs w:val="16"/>
                <w:color w:val="auto"/>
              </w:rPr>
              <w:t>41,295,684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8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vMerge w:val="restart"/>
          </w:tcPr>
          <w:p>
            <w:pPr>
              <w:spacing w:after="0"/>
              <w:rPr>
                <w:sz w:val="14"/>
                <w:szCs w:val="14"/>
                <w:color w:val="auto"/>
              </w:rPr>
            </w:pPr>
          </w:p>
        </w:tc>
        <w:tc>
          <w:tcPr>
            <w:tcW w:w="1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0" w:type="dxa"/>
            <w:vAlign w:val="bottom"/>
            <w:vMerge w:val="continue"/>
          </w:tcPr>
          <w:p>
            <w:pPr>
              <w:spacing w:after="0"/>
              <w:rPr>
                <w:sz w:val="15"/>
                <w:szCs w:val="15"/>
                <w:color w:val="auto"/>
              </w:rPr>
            </w:pPr>
          </w:p>
        </w:tc>
        <w:tc>
          <w:tcPr>
            <w:tcW w:w="20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BALANCE AS OF</w:t>
            </w: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DECEMBER 31, 2008</w:t>
            </w:r>
          </w:p>
        </w:tc>
        <w:tc>
          <w:tcPr>
            <w:tcW w:w="124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137,633,502</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8,258,010</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253,821,363</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40" w:type="dxa"/>
            <w:vAlign w:val="bottom"/>
            <w:gridSpan w:val="4"/>
            <w:shd w:val="clear" w:color="auto" w:fill="CCEEFF"/>
          </w:tcPr>
          <w:p>
            <w:pPr>
              <w:jc w:val="right"/>
              <w:ind w:right="100"/>
              <w:spacing w:after="0"/>
              <w:rPr>
                <w:sz w:val="20"/>
                <w:szCs w:val="20"/>
                <w:color w:val="auto"/>
              </w:rPr>
            </w:pPr>
            <w:r>
              <w:rPr>
                <w:rFonts w:ascii="Arial" w:cs="Arial" w:eastAsia="Arial" w:hAnsi="Arial"/>
                <w:sz w:val="16"/>
                <w:szCs w:val="16"/>
                <w:color w:val="auto"/>
              </w:rPr>
              <w:t>434,975,514</w:t>
            </w: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1,541,435</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698,596,322</w:t>
            </w:r>
          </w:p>
        </w:tc>
        <w:tc>
          <w:tcPr>
            <w:tcW w:w="0" w:type="dxa"/>
            <w:vAlign w:val="bottom"/>
          </w:tcPr>
          <w:p>
            <w:pPr>
              <w:spacing w:after="0"/>
              <w:rPr>
                <w:sz w:val="1"/>
                <w:szCs w:val="1"/>
                <w:color w:val="auto"/>
              </w:rPr>
            </w:pPr>
          </w:p>
        </w:tc>
      </w:tr>
      <w:tr>
        <w:trPr>
          <w:trHeight w:val="364"/>
        </w:trPr>
        <w:tc>
          <w:tcPr>
            <w:tcW w:w="2040" w:type="dxa"/>
            <w:vAlign w:val="bottom"/>
            <w:gridSpan w:val="3"/>
          </w:tcPr>
          <w:p>
            <w:pPr>
              <w:spacing w:after="0"/>
              <w:rPr>
                <w:sz w:val="20"/>
                <w:szCs w:val="20"/>
                <w:color w:val="auto"/>
              </w:rPr>
            </w:pPr>
            <w:r>
              <w:rPr>
                <w:rFonts w:ascii="Arial" w:cs="Arial" w:eastAsia="Arial" w:hAnsi="Arial"/>
                <w:sz w:val="16"/>
                <w:szCs w:val="16"/>
                <w:color w:val="auto"/>
              </w:rPr>
              <w:t>Issuance of common stock</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gridSpan w:val="2"/>
          </w:tcPr>
          <w:p>
            <w:pPr>
              <w:ind w:left="160"/>
              <w:spacing w:after="0" w:line="182" w:lineRule="exact"/>
              <w:rPr>
                <w:sz w:val="20"/>
                <w:szCs w:val="20"/>
                <w:color w:val="auto"/>
              </w:rPr>
            </w:pPr>
            <w:r>
              <w:rPr>
                <w:rFonts w:ascii="Arial" w:cs="Arial" w:eastAsia="Arial" w:hAnsi="Arial"/>
                <w:sz w:val="16"/>
                <w:szCs w:val="16"/>
                <w:color w:val="auto"/>
              </w:rPr>
              <w:t>and the tax benefit of</w:t>
            </w:r>
          </w:p>
        </w:tc>
        <w:tc>
          <w:tcPr>
            <w:tcW w:w="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20" w:type="dxa"/>
            <w:vAlign w:val="bottom"/>
            <w:gridSpan w:val="2"/>
          </w:tcPr>
          <w:p>
            <w:pPr>
              <w:ind w:left="160"/>
              <w:spacing w:after="0"/>
              <w:rPr>
                <w:sz w:val="20"/>
                <w:szCs w:val="20"/>
                <w:color w:val="auto"/>
              </w:rPr>
            </w:pPr>
            <w:r>
              <w:rPr>
                <w:rFonts w:ascii="Arial" w:cs="Arial" w:eastAsia="Arial" w:hAnsi="Arial"/>
                <w:sz w:val="16"/>
                <w:szCs w:val="16"/>
                <w:color w:val="auto"/>
              </w:rPr>
              <w:t>stock plan transactions</w:t>
            </w:r>
          </w:p>
        </w:tc>
        <w:tc>
          <w:tcPr>
            <w:tcW w:w="1240" w:type="dxa"/>
            <w:vAlign w:val="bottom"/>
            <w:gridSpan w:val="4"/>
          </w:tcPr>
          <w:p>
            <w:pPr>
              <w:jc w:val="right"/>
              <w:ind w:right="80"/>
              <w:spacing w:after="0"/>
              <w:rPr>
                <w:sz w:val="20"/>
                <w:szCs w:val="20"/>
                <w:color w:val="auto"/>
              </w:rPr>
            </w:pPr>
            <w:r>
              <w:rPr>
                <w:rFonts w:ascii="Arial" w:cs="Arial" w:eastAsia="Arial" w:hAnsi="Arial"/>
                <w:sz w:val="16"/>
                <w:szCs w:val="16"/>
                <w:color w:val="auto"/>
              </w:rPr>
              <w:t>705,883</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6"/>
                <w:szCs w:val="16"/>
                <w:color w:val="auto"/>
              </w:rPr>
              <w:t>42,353</w:t>
            </w:r>
          </w:p>
        </w:tc>
        <w:tc>
          <w:tcPr>
            <w:tcW w:w="240" w:type="dxa"/>
            <w:vAlign w:val="bottom"/>
          </w:tcPr>
          <w:p>
            <w:pPr>
              <w:spacing w:after="0"/>
              <w:rPr>
                <w:sz w:val="15"/>
                <w:szCs w:val="15"/>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6"/>
                <w:szCs w:val="16"/>
                <w:color w:val="auto"/>
              </w:rPr>
              <w:t>7,445,542</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6"/>
                <w:szCs w:val="16"/>
                <w:color w:val="auto"/>
              </w:rPr>
              <w:t>7,487,895</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20" w:type="dxa"/>
            <w:vAlign w:val="bottom"/>
            <w:gridSpan w:val="2"/>
            <w:shd w:val="clear" w:color="auto" w:fill="CCEEFF"/>
          </w:tcPr>
          <w:p>
            <w:pPr>
              <w:spacing w:after="0" w:line="181" w:lineRule="exact"/>
              <w:rPr>
                <w:sz w:val="20"/>
                <w:szCs w:val="20"/>
                <w:color w:val="auto"/>
              </w:rPr>
            </w:pPr>
            <w:r>
              <w:rPr>
                <w:rFonts w:ascii="Arial" w:cs="Arial" w:eastAsia="Arial" w:hAnsi="Arial"/>
                <w:sz w:val="16"/>
                <w:szCs w:val="16"/>
                <w:color w:val="auto"/>
              </w:rPr>
              <w:t>Stock-based compensation</w:t>
            </w:r>
          </w:p>
        </w:tc>
        <w:tc>
          <w:tcPr>
            <w:tcW w:w="6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9,084,891</w:t>
            </w: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00"/>
              <w:spacing w:after="0" w:line="181" w:lineRule="exact"/>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80"/>
              <w:spacing w:after="0" w:line="181" w:lineRule="exact"/>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60"/>
              <w:spacing w:after="0" w:line="181" w:lineRule="exact"/>
              <w:rPr>
                <w:sz w:val="20"/>
                <w:szCs w:val="20"/>
                <w:color w:val="auto"/>
              </w:rPr>
            </w:pPr>
            <w:r>
              <w:rPr>
                <w:rFonts w:ascii="Arial" w:cs="Arial" w:eastAsia="Arial" w:hAnsi="Arial"/>
                <w:sz w:val="16"/>
                <w:szCs w:val="16"/>
                <w:color w:val="auto"/>
              </w:rPr>
              <w:t>9,084,891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gridSpan w:val="2"/>
            <w:shd w:val="clear" w:color="auto" w:fill="CCEEFF"/>
          </w:tcPr>
          <w:p>
            <w:pPr>
              <w:ind w:left="160"/>
              <w:spacing w:after="0" w:line="182" w:lineRule="exact"/>
              <w:rPr>
                <w:sz w:val="20"/>
                <w:szCs w:val="20"/>
                <w:color w:val="auto"/>
              </w:rPr>
            </w:pPr>
            <w:r>
              <w:rPr>
                <w:rFonts w:ascii="Arial" w:cs="Arial" w:eastAsia="Arial" w:hAnsi="Arial"/>
                <w:sz w:val="16"/>
                <w:szCs w:val="16"/>
                <w:color w:val="auto"/>
              </w:rPr>
              <w:t>expense related to stock</w:t>
            </w:r>
          </w:p>
        </w:tc>
        <w:tc>
          <w:tcPr>
            <w:tcW w:w="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2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options, employee stock</w:t>
            </w: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520"/>
          </w:cols>
          <w:pgMar w:left="240" w:top="381" w:right="139" w:bottom="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purchases and restricted</w:t>
            </w:r>
          </w:p>
        </w:tc>
        <w:tc>
          <w:tcPr>
            <w:tcW w:w="1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stock</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80" w:type="dxa"/>
            <w:vAlign w:val="bottom"/>
          </w:tcPr>
          <w:p>
            <w:pPr>
              <w:spacing w:after="0" w:line="181" w:lineRule="exact"/>
              <w:rPr>
                <w:sz w:val="20"/>
                <w:szCs w:val="20"/>
                <w:color w:val="auto"/>
              </w:rPr>
            </w:pPr>
            <w:r>
              <w:rPr>
                <w:rFonts w:ascii="Arial" w:cs="Arial" w:eastAsia="Arial" w:hAnsi="Arial"/>
                <w:sz w:val="16"/>
                <w:szCs w:val="16"/>
                <w:color w:val="auto"/>
              </w:rPr>
              <w:t>Dividends declared ($.44</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080" w:type="dxa"/>
            <w:vAlign w:val="bottom"/>
          </w:tcPr>
          <w:p>
            <w:pPr>
              <w:ind w:left="160"/>
              <w:spacing w:after="0"/>
              <w:rPr>
                <w:sz w:val="20"/>
                <w:szCs w:val="20"/>
                <w:color w:val="auto"/>
              </w:rPr>
            </w:pPr>
            <w:r>
              <w:rPr>
                <w:rFonts w:ascii="Arial" w:cs="Arial" w:eastAsia="Arial" w:hAnsi="Arial"/>
                <w:sz w:val="16"/>
                <w:szCs w:val="16"/>
                <w:color w:val="auto"/>
              </w:rPr>
              <w:t>per share)</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360" w:type="dxa"/>
            <w:vAlign w:val="bottom"/>
            <w:gridSpan w:val="3"/>
          </w:tcPr>
          <w:p>
            <w:pPr>
              <w:ind w:left="8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6"/>
                <w:szCs w:val="16"/>
                <w:color w:val="auto"/>
              </w:rPr>
              <w:t>(60,675,357)</w:t>
            </w:r>
          </w:p>
        </w:tc>
        <w:tc>
          <w:tcPr>
            <w:tcW w:w="34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(60,675,357)</w:t>
            </w:r>
          </w:p>
        </w:tc>
        <w:tc>
          <w:tcPr>
            <w:tcW w:w="0" w:type="dxa"/>
            <w:vAlign w:val="bottom"/>
          </w:tcPr>
          <w:p>
            <w:pPr>
              <w:spacing w:after="0"/>
              <w:rPr>
                <w:sz w:val="1"/>
                <w:szCs w:val="1"/>
                <w:color w:val="auto"/>
              </w:rPr>
            </w:pPr>
          </w:p>
        </w:tc>
      </w:tr>
      <w:tr>
        <w:trPr>
          <w:trHeight w:val="171"/>
        </w:trPr>
        <w:tc>
          <w:tcPr>
            <w:tcW w:w="20" w:type="dxa"/>
            <w:vAlign w:val="bottom"/>
            <w:vMerge w:val="restart"/>
          </w:tcPr>
          <w:p>
            <w:pPr>
              <w:spacing w:after="0"/>
              <w:rPr>
                <w:sz w:val="14"/>
                <w:szCs w:val="14"/>
                <w:color w:val="auto"/>
              </w:rPr>
            </w:pPr>
          </w:p>
        </w:tc>
        <w:tc>
          <w:tcPr>
            <w:tcW w:w="2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vMerge w:val="continue"/>
          </w:tcPr>
          <w:p>
            <w:pPr>
              <w:spacing w:after="0"/>
              <w:rPr>
                <w:sz w:val="15"/>
                <w:szCs w:val="15"/>
                <w:color w:val="auto"/>
              </w:rPr>
            </w:pPr>
          </w:p>
        </w:tc>
        <w:tc>
          <w:tcPr>
            <w:tcW w:w="208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Comprehensive income:</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80" w:type="dxa"/>
            <w:vAlign w:val="bottom"/>
          </w:tcPr>
          <w:p>
            <w:pPr>
              <w:ind w:left="160"/>
              <w:spacing w:after="0" w:line="182" w:lineRule="exact"/>
              <w:rPr>
                <w:sz w:val="20"/>
                <w:szCs w:val="20"/>
                <w:color w:val="auto"/>
              </w:rPr>
            </w:pPr>
            <w:r>
              <w:rPr>
                <w:rFonts w:ascii="Arial" w:cs="Arial" w:eastAsia="Arial" w:hAnsi="Arial"/>
                <w:sz w:val="16"/>
                <w:szCs w:val="16"/>
                <w:color w:val="auto"/>
              </w:rPr>
              <w:t>Net income</w:t>
            </w:r>
          </w:p>
        </w:tc>
        <w:tc>
          <w:tcPr>
            <w:tcW w:w="1100" w:type="dxa"/>
            <w:vAlign w:val="bottom"/>
          </w:tcPr>
          <w:p>
            <w:pPr>
              <w:jc w:val="right"/>
              <w:spacing w:after="0" w:line="182" w:lineRule="exact"/>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00"/>
              <w:spacing w:after="0" w:line="182"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360" w:type="dxa"/>
            <w:vAlign w:val="bottom"/>
            <w:gridSpan w:val="3"/>
          </w:tcPr>
          <w:p>
            <w:pPr>
              <w:ind w:left="880"/>
              <w:spacing w:after="0" w:line="182" w:lineRule="exact"/>
              <w:rPr>
                <w:sz w:val="20"/>
                <w:szCs w:val="20"/>
                <w:color w:val="auto"/>
              </w:rPr>
            </w:pPr>
            <w:r>
              <w:rPr>
                <w:rFonts w:ascii="Arial" w:cs="Arial" w:eastAsia="Arial" w:hAnsi="Arial"/>
                <w:sz w:val="16"/>
                <w:szCs w:val="16"/>
                <w:color w:val="auto"/>
              </w:rPr>
              <w:t>— $</w:t>
            </w: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64,637,085</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jc w:val="right"/>
              <w:spacing w:after="0" w:line="182" w:lineRule="exact"/>
              <w:rPr>
                <w:sz w:val="20"/>
                <w:szCs w:val="20"/>
                <w:color w:val="auto"/>
              </w:rPr>
            </w:pPr>
            <w:r>
              <w:rPr>
                <w:rFonts w:ascii="Arial" w:cs="Arial" w:eastAsia="Arial" w:hAnsi="Arial"/>
                <w:sz w:val="16"/>
                <w:szCs w:val="16"/>
                <w:color w:val="auto"/>
              </w:rPr>
              <w:t>64,637,085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gridSpan w:val="2"/>
          </w:tcPr>
          <w:p>
            <w:pPr>
              <w:jc w:val="right"/>
              <w:ind w:right="40"/>
              <w:spacing w:after="0" w:line="182" w:lineRule="exact"/>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6"/>
                <w:szCs w:val="16"/>
                <w:color w:val="auto"/>
              </w:rPr>
              <w:t>64,637,085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80" w:type="dxa"/>
            <w:vAlign w:val="bottom"/>
            <w:shd w:val="clear" w:color="auto" w:fill="CCEEFF"/>
          </w:tcPr>
          <w:p>
            <w:pPr>
              <w:ind w:left="160"/>
              <w:spacing w:after="0" w:line="181" w:lineRule="exact"/>
              <w:rPr>
                <w:sz w:val="20"/>
                <w:szCs w:val="20"/>
                <w:color w:val="auto"/>
              </w:rPr>
            </w:pPr>
            <w:r>
              <w:rPr>
                <w:rFonts w:ascii="Arial" w:cs="Arial" w:eastAsia="Arial" w:hAnsi="Arial"/>
                <w:sz w:val="16"/>
                <w:szCs w:val="16"/>
                <w:color w:val="auto"/>
              </w:rPr>
              <w:t>Other comprehensive</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income (loss):</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80" w:type="dxa"/>
            <w:vAlign w:val="bottom"/>
          </w:tcPr>
          <w:p>
            <w:pPr>
              <w:ind w:left="340"/>
              <w:spacing w:after="0" w:line="181" w:lineRule="exact"/>
              <w:rPr>
                <w:sz w:val="20"/>
                <w:szCs w:val="20"/>
                <w:color w:val="auto"/>
              </w:rPr>
            </w:pPr>
            <w:r>
              <w:rPr>
                <w:rFonts w:ascii="Arial" w:cs="Arial" w:eastAsia="Arial" w:hAnsi="Arial"/>
                <w:sz w:val="16"/>
                <w:szCs w:val="16"/>
                <w:color w:val="auto"/>
              </w:rPr>
              <w:t>Foreign currency</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80" w:type="dxa"/>
            <w:vAlign w:val="bottom"/>
          </w:tcPr>
          <w:p>
            <w:pPr>
              <w:ind w:left="520"/>
              <w:spacing w:after="0" w:line="182" w:lineRule="exact"/>
              <w:rPr>
                <w:sz w:val="20"/>
                <w:szCs w:val="20"/>
                <w:color w:val="auto"/>
              </w:rPr>
            </w:pPr>
            <w:r>
              <w:rPr>
                <w:rFonts w:ascii="Arial" w:cs="Arial" w:eastAsia="Arial" w:hAnsi="Arial"/>
                <w:sz w:val="16"/>
                <w:szCs w:val="16"/>
                <w:color w:val="auto"/>
              </w:rPr>
              <w:t>translation</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80" w:type="dxa"/>
            <w:vAlign w:val="bottom"/>
          </w:tcPr>
          <w:p>
            <w:pPr>
              <w:ind w:left="520"/>
              <w:spacing w:after="0"/>
              <w:rPr>
                <w:sz w:val="20"/>
                <w:szCs w:val="20"/>
                <w:color w:val="auto"/>
              </w:rPr>
            </w:pPr>
            <w:r>
              <w:rPr>
                <w:rFonts w:ascii="Arial" w:cs="Arial" w:eastAsia="Arial" w:hAnsi="Arial"/>
                <w:sz w:val="16"/>
                <w:szCs w:val="16"/>
                <w:color w:val="auto"/>
              </w:rPr>
              <w:t>adjustment</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5"/>
                <w:szCs w:val="15"/>
                <w:color w:val="auto"/>
              </w:rPr>
            </w:pPr>
          </w:p>
        </w:tc>
        <w:tc>
          <w:tcPr>
            <w:tcW w:w="1360" w:type="dxa"/>
            <w:vAlign w:val="bottom"/>
            <w:gridSpan w:val="3"/>
          </w:tcPr>
          <w:p>
            <w:pPr>
              <w:ind w:left="880"/>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1,585,745</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80" w:type="dxa"/>
            <w:vAlign w:val="bottom"/>
            <w:shd w:val="clear" w:color="auto" w:fill="CCEEFF"/>
          </w:tcPr>
          <w:p>
            <w:pPr>
              <w:ind w:left="340"/>
              <w:spacing w:after="0" w:line="181" w:lineRule="exact"/>
              <w:rPr>
                <w:sz w:val="20"/>
                <w:szCs w:val="20"/>
                <w:color w:val="auto"/>
              </w:rPr>
            </w:pPr>
            <w:r>
              <w:rPr>
                <w:rFonts w:ascii="Arial" w:cs="Arial" w:eastAsia="Arial" w:hAnsi="Arial"/>
                <w:sz w:val="16"/>
                <w:szCs w:val="16"/>
                <w:color w:val="auto"/>
              </w:rPr>
              <w:t>Unrealized gain</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80" w:type="dxa"/>
            <w:vAlign w:val="bottom"/>
            <w:shd w:val="clear" w:color="auto" w:fill="CCEEFF"/>
          </w:tcPr>
          <w:p>
            <w:pPr>
              <w:ind w:left="520"/>
              <w:spacing w:after="0" w:line="182" w:lineRule="exact"/>
              <w:rPr>
                <w:sz w:val="20"/>
                <w:szCs w:val="20"/>
                <w:color w:val="auto"/>
              </w:rPr>
            </w:pPr>
            <w:r>
              <w:rPr>
                <w:rFonts w:ascii="Arial" w:cs="Arial" w:eastAsia="Arial" w:hAnsi="Arial"/>
                <w:sz w:val="16"/>
                <w:szCs w:val="16"/>
                <w:color w:val="auto"/>
              </w:rPr>
              <w:t>(loss) on</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80" w:type="dxa"/>
            <w:vAlign w:val="bottom"/>
            <w:shd w:val="clear" w:color="auto" w:fill="CCEEFF"/>
          </w:tcPr>
          <w:p>
            <w:pPr>
              <w:ind w:left="520"/>
              <w:spacing w:after="0" w:line="182" w:lineRule="exact"/>
              <w:rPr>
                <w:sz w:val="20"/>
                <w:szCs w:val="20"/>
                <w:color w:val="auto"/>
              </w:rPr>
            </w:pPr>
            <w:r>
              <w:rPr>
                <w:rFonts w:ascii="Arial" w:cs="Arial" w:eastAsia="Arial" w:hAnsi="Arial"/>
                <w:sz w:val="16"/>
                <w:szCs w:val="16"/>
                <w:color w:val="auto"/>
              </w:rPr>
              <w:t>investments, net of</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80" w:type="dxa"/>
            <w:vAlign w:val="bottom"/>
            <w:shd w:val="clear" w:color="auto" w:fill="CCEEFF"/>
          </w:tcPr>
          <w:p>
            <w:pPr>
              <w:ind w:left="520"/>
              <w:spacing w:after="0"/>
              <w:rPr>
                <w:sz w:val="20"/>
                <w:szCs w:val="20"/>
                <w:color w:val="auto"/>
              </w:rPr>
            </w:pPr>
            <w:r>
              <w:rPr>
                <w:rFonts w:ascii="Arial" w:cs="Arial" w:eastAsia="Arial" w:hAnsi="Arial"/>
                <w:sz w:val="16"/>
                <w:szCs w:val="16"/>
                <w:color w:val="auto"/>
              </w:rPr>
              <w:t>tax of $8,191,180</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ind w:left="88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15,212,162</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080" w:type="dxa"/>
            <w:vAlign w:val="bottom"/>
          </w:tcPr>
          <w:p>
            <w:pPr>
              <w:ind w:left="520"/>
              <w:spacing w:after="0"/>
              <w:rPr>
                <w:sz w:val="20"/>
                <w:szCs w:val="20"/>
                <w:color w:val="auto"/>
              </w:rPr>
            </w:pPr>
            <w:r>
              <w:rPr>
                <w:rFonts w:ascii="Arial" w:cs="Arial" w:eastAsia="Arial" w:hAnsi="Arial"/>
                <w:sz w:val="16"/>
                <w:szCs w:val="16"/>
                <w:color w:val="auto"/>
              </w:rPr>
              <w:t>Other</w:t>
            </w: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80" w:type="dxa"/>
            <w:vAlign w:val="bottom"/>
          </w:tcPr>
          <w:p>
            <w:pPr>
              <w:ind w:left="700"/>
              <w:spacing w:after="0" w:line="182" w:lineRule="exact"/>
              <w:rPr>
                <w:sz w:val="20"/>
                <w:szCs w:val="20"/>
                <w:color w:val="auto"/>
              </w:rPr>
            </w:pPr>
            <w:r>
              <w:rPr>
                <w:rFonts w:ascii="Arial" w:cs="Arial" w:eastAsia="Arial" w:hAnsi="Arial"/>
                <w:sz w:val="16"/>
                <w:szCs w:val="16"/>
                <w:color w:val="auto"/>
              </w:rPr>
              <w:t>comprehensive</w:t>
            </w: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080" w:type="dxa"/>
            <w:vAlign w:val="bottom"/>
          </w:tcPr>
          <w:p>
            <w:pPr>
              <w:ind w:left="700"/>
              <w:spacing w:after="0"/>
              <w:rPr>
                <w:sz w:val="20"/>
                <w:szCs w:val="20"/>
                <w:color w:val="auto"/>
              </w:rPr>
            </w:pPr>
            <w:r>
              <w:rPr>
                <w:rFonts w:ascii="Arial" w:cs="Arial" w:eastAsia="Arial" w:hAnsi="Arial"/>
                <w:sz w:val="16"/>
                <w:szCs w:val="16"/>
                <w:color w:val="auto"/>
              </w:rPr>
              <w:t>income (loss)</w:t>
            </w: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360" w:type="dxa"/>
            <w:vAlign w:val="bottom"/>
            <w:gridSpan w:val="3"/>
          </w:tcPr>
          <w:p>
            <w:pPr>
              <w:ind w:left="88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16,797,907</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6"/>
                <w:szCs w:val="16"/>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16,797,907</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16,797,907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080" w:type="dxa"/>
            <w:vAlign w:val="bottom"/>
            <w:shd w:val="clear" w:color="auto" w:fill="CCEEFF"/>
          </w:tcPr>
          <w:p>
            <w:pPr>
              <w:ind w:left="700"/>
              <w:spacing w:after="0" w:line="181" w:lineRule="exact"/>
              <w:rPr>
                <w:sz w:val="20"/>
                <w:szCs w:val="20"/>
                <w:color w:val="auto"/>
              </w:rPr>
            </w:pPr>
            <w:r>
              <w:rPr>
                <w:rFonts w:ascii="Arial" w:cs="Arial" w:eastAsia="Arial" w:hAnsi="Arial"/>
                <w:sz w:val="16"/>
                <w:szCs w:val="16"/>
                <w:color w:val="auto"/>
              </w:rPr>
              <w:t>Comprehensive</w:t>
            </w: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80" w:type="dxa"/>
            <w:vAlign w:val="bottom"/>
            <w:shd w:val="clear" w:color="auto" w:fill="CCEEFF"/>
          </w:tcPr>
          <w:p>
            <w:pPr>
              <w:ind w:left="880"/>
              <w:spacing w:after="0"/>
              <w:rPr>
                <w:sz w:val="20"/>
                <w:szCs w:val="20"/>
                <w:color w:val="auto"/>
              </w:rPr>
            </w:pPr>
            <w:r>
              <w:rPr>
                <w:rFonts w:ascii="Arial" w:cs="Arial" w:eastAsia="Arial" w:hAnsi="Arial"/>
                <w:sz w:val="16"/>
                <w:szCs w:val="16"/>
                <w:color w:val="auto"/>
              </w:rPr>
              <w:t>income</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5"/>
                <w:szCs w:val="15"/>
                <w:color w:val="auto"/>
              </w:rPr>
            </w:pPr>
          </w:p>
        </w:tc>
        <w:tc>
          <w:tcPr>
            <w:tcW w:w="1360" w:type="dxa"/>
            <w:vAlign w:val="bottom"/>
            <w:gridSpan w:val="3"/>
            <w:shd w:val="clear" w:color="auto" w:fill="CCEEFF"/>
          </w:tcPr>
          <w:p>
            <w:pPr>
              <w:ind w:left="880"/>
              <w:spacing w:after="0"/>
              <w:rPr>
                <w:sz w:val="20"/>
                <w:szCs w:val="20"/>
                <w:color w:val="auto"/>
              </w:rPr>
            </w:pPr>
            <w:r>
              <w:rPr>
                <w:rFonts w:ascii="Arial" w:cs="Arial" w:eastAsia="Arial" w:hAnsi="Arial"/>
                <w:sz w:val="16"/>
                <w:szCs w:val="16"/>
                <w:color w:val="auto"/>
              </w:rPr>
              <w:t>— $</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81,434,992</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100" w:type="dxa"/>
            <w:vAlign w:val="bottom"/>
            <w:gridSpan w:val="2"/>
            <w:vMerge w:val="restart"/>
          </w:tcPr>
          <w:p>
            <w:pPr>
              <w:spacing w:after="0"/>
              <w:rPr>
                <w:sz w:val="20"/>
                <w:szCs w:val="20"/>
                <w:color w:val="auto"/>
              </w:rPr>
            </w:pPr>
            <w:r>
              <w:rPr>
                <w:rFonts w:ascii="Arial" w:cs="Arial" w:eastAsia="Arial" w:hAnsi="Arial"/>
                <w:sz w:val="16"/>
                <w:szCs w:val="16"/>
                <w:color w:val="auto"/>
              </w:rPr>
              <w:t>BALANCE AS OF</w:t>
            </w:r>
          </w:p>
        </w:tc>
        <w:tc>
          <w:tcPr>
            <w:tcW w:w="110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110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210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080" w:type="dxa"/>
            <w:vAlign w:val="bottom"/>
          </w:tcPr>
          <w:p>
            <w:pPr>
              <w:ind w:left="160"/>
              <w:spacing w:after="0"/>
              <w:rPr>
                <w:sz w:val="20"/>
                <w:szCs w:val="20"/>
                <w:color w:val="auto"/>
              </w:rPr>
            </w:pPr>
            <w:r>
              <w:rPr>
                <w:rFonts w:ascii="Arial" w:cs="Arial" w:eastAsia="Arial" w:hAnsi="Arial"/>
                <w:sz w:val="16"/>
                <w:szCs w:val="16"/>
                <w:color w:val="auto"/>
              </w:rPr>
              <w:t>DECEMBER 31, 2009</w:t>
            </w:r>
          </w:p>
        </w:tc>
        <w:tc>
          <w:tcPr>
            <w:tcW w:w="1100" w:type="dxa"/>
            <w:vAlign w:val="bottom"/>
          </w:tcPr>
          <w:p>
            <w:pPr>
              <w:jc w:val="right"/>
              <w:spacing w:after="0"/>
              <w:rPr>
                <w:sz w:val="20"/>
                <w:szCs w:val="20"/>
                <w:color w:val="auto"/>
              </w:rPr>
            </w:pPr>
            <w:r>
              <w:rPr>
                <w:rFonts w:ascii="Arial" w:cs="Arial" w:eastAsia="Arial" w:hAnsi="Arial"/>
                <w:sz w:val="16"/>
                <w:szCs w:val="16"/>
                <w:color w:val="auto"/>
              </w:rPr>
              <w:t>138,339,385</w:t>
            </w: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6"/>
                <w:szCs w:val="16"/>
                <w:color w:val="auto"/>
              </w:rPr>
              <w:t>8,300,363</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ind w:left="140"/>
              <w:spacing w:after="0"/>
              <w:rPr>
                <w:sz w:val="20"/>
                <w:szCs w:val="20"/>
                <w:color w:val="auto"/>
              </w:rPr>
            </w:pPr>
            <w:r>
              <w:rPr>
                <w:rFonts w:ascii="Arial" w:cs="Arial" w:eastAsia="Arial" w:hAnsi="Arial"/>
                <w:sz w:val="16"/>
                <w:szCs w:val="16"/>
                <w:color w:val="auto"/>
              </w:rPr>
              <w:t>270,351,796</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6"/>
                <w:szCs w:val="16"/>
                <w:color w:val="auto"/>
              </w:rPr>
              <w:t>438,937,242</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18,339,342</w:t>
            </w: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735,928,743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ind w:right="100"/>
        <w:spacing w:after="0"/>
        <w:rPr>
          <w:sz w:val="20"/>
          <w:szCs w:val="20"/>
          <w:color w:val="auto"/>
        </w:rPr>
      </w:pPr>
      <w:r>
        <w:rPr>
          <w:rFonts w:ascii="Arial" w:cs="Arial" w:eastAsia="Arial" w:hAnsi="Arial"/>
          <w:sz w:val="16"/>
          <w:szCs w:val="16"/>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1520"/>
          </w:cols>
          <w:pgMar w:left="240" w:top="137" w:right="13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93" w:lineRule="exact"/>
        <w:rPr>
          <w:sz w:val="20"/>
          <w:szCs w:val="20"/>
          <w:color w:val="auto"/>
        </w:rPr>
      </w:pPr>
    </w:p>
    <w:p>
      <w:pPr>
        <w:jc w:val="center"/>
        <w:ind w:right="1239"/>
        <w:spacing w:after="0"/>
        <w:rPr>
          <w:sz w:val="20"/>
          <w:szCs w:val="20"/>
          <w:color w:val="auto"/>
        </w:rPr>
      </w:pPr>
      <w:r>
        <w:rPr>
          <w:rFonts w:ascii="Arial" w:cs="Arial" w:eastAsia="Arial" w:hAnsi="Arial"/>
          <w:sz w:val="16"/>
          <w:szCs w:val="16"/>
          <w:u w:val="single" w:color="auto"/>
          <w:color w:val="auto"/>
        </w:rPr>
        <w:t>GENTEX CORPORATION AND SUBSIDIARIES</w:t>
      </w:r>
    </w:p>
    <w:p>
      <w:pPr>
        <w:spacing w:after="0" w:line="168" w:lineRule="exact"/>
        <w:rPr>
          <w:sz w:val="20"/>
          <w:szCs w:val="20"/>
          <w:color w:val="auto"/>
        </w:rPr>
      </w:pPr>
    </w:p>
    <w:p>
      <w:pPr>
        <w:jc w:val="center"/>
        <w:ind w:right="1239"/>
        <w:spacing w:after="0"/>
        <w:rPr>
          <w:sz w:val="20"/>
          <w:szCs w:val="20"/>
          <w:color w:val="auto"/>
        </w:rPr>
      </w:pPr>
      <w:r>
        <w:rPr>
          <w:rFonts w:ascii="Arial" w:cs="Arial" w:eastAsia="Arial" w:hAnsi="Arial"/>
          <w:sz w:val="16"/>
          <w:szCs w:val="16"/>
          <w:u w:val="single" w:color="auto"/>
          <w:color w:val="auto"/>
        </w:rPr>
        <w:t>CONSOLIDATED STATEMENTS OF CASH FLOWS</w:t>
      </w:r>
    </w:p>
    <w:p>
      <w:pPr>
        <w:spacing w:after="0" w:line="156" w:lineRule="exact"/>
        <w:rPr>
          <w:sz w:val="20"/>
          <w:szCs w:val="20"/>
          <w:color w:val="auto"/>
        </w:rPr>
      </w:pPr>
    </w:p>
    <w:p>
      <w:pPr>
        <w:jc w:val="center"/>
        <w:ind w:right="1239"/>
        <w:spacing w:after="0"/>
        <w:rPr>
          <w:sz w:val="20"/>
          <w:szCs w:val="20"/>
          <w:color w:val="auto"/>
        </w:rPr>
      </w:pPr>
      <w:r>
        <w:rPr>
          <w:rFonts w:ascii="Arial" w:cs="Arial" w:eastAsia="Arial" w:hAnsi="Arial"/>
          <w:sz w:val="16"/>
          <w:szCs w:val="16"/>
          <w:u w:val="single" w:color="auto"/>
          <w:color w:val="auto"/>
        </w:rPr>
        <w:t>FOR THE YEARS ENDED DECEMBER 31, 2009, 2008 AND 2007</w:t>
      </w:r>
    </w:p>
    <w:p>
      <w:pPr>
        <w:spacing w:after="0" w:line="180"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4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2009</w:t>
            </w:r>
          </w:p>
        </w:tc>
        <w:tc>
          <w:tcPr>
            <w:tcW w:w="2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2008</w:t>
            </w:r>
          </w:p>
        </w:tc>
        <w:tc>
          <w:tcPr>
            <w:tcW w:w="300" w:type="dxa"/>
            <w:vAlign w:val="bottom"/>
          </w:tcPr>
          <w:p>
            <w:pPr>
              <w:spacing w:after="0"/>
              <w:rPr>
                <w:sz w:val="16"/>
                <w:szCs w:val="16"/>
                <w:color w:val="auto"/>
              </w:rPr>
            </w:pPr>
          </w:p>
        </w:tc>
        <w:tc>
          <w:tcPr>
            <w:tcW w:w="10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2007</w:t>
            </w:r>
          </w:p>
        </w:tc>
        <w:tc>
          <w:tcPr>
            <w:tcW w:w="60" w:type="dxa"/>
            <w:vAlign w:val="bottom"/>
          </w:tcPr>
          <w:p>
            <w:pPr>
              <w:spacing w:after="0"/>
              <w:rPr>
                <w:sz w:val="16"/>
                <w:szCs w:val="16"/>
                <w:color w:val="auto"/>
              </w:rPr>
            </w:pPr>
          </w:p>
        </w:tc>
      </w:tr>
      <w:tr>
        <w:trPr>
          <w:trHeight w:val="174"/>
        </w:trPr>
        <w:tc>
          <w:tcPr>
            <w:tcW w:w="46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CASH FLOWS FROM OPERATING ACTIVITIES:</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2"/>
        </w:trPr>
        <w:tc>
          <w:tcPr>
            <w:tcW w:w="4620" w:type="dxa"/>
            <w:vAlign w:val="bottom"/>
          </w:tcPr>
          <w:p>
            <w:pPr>
              <w:ind w:left="200"/>
              <w:spacing w:after="0" w:line="182" w:lineRule="exact"/>
              <w:rPr>
                <w:sz w:val="20"/>
                <w:szCs w:val="20"/>
                <w:color w:val="auto"/>
              </w:rPr>
            </w:pPr>
            <w:r>
              <w:rPr>
                <w:rFonts w:ascii="Arial" w:cs="Arial" w:eastAsia="Arial" w:hAnsi="Arial"/>
                <w:sz w:val="16"/>
                <w:szCs w:val="16"/>
                <w:color w:val="auto"/>
              </w:rPr>
              <w:t>Net income</w:t>
            </w:r>
          </w:p>
        </w:tc>
        <w:tc>
          <w:tcPr>
            <w:tcW w:w="100" w:type="dxa"/>
            <w:vAlign w:val="bottom"/>
          </w:tcPr>
          <w:p>
            <w:pPr>
              <w:jc w:val="right"/>
              <w:spacing w:after="0" w:line="182" w:lineRule="exact"/>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64,637,085</w:t>
            </w:r>
          </w:p>
        </w:tc>
        <w:tc>
          <w:tcPr>
            <w:tcW w:w="280" w:type="dxa"/>
            <w:vAlign w:val="bottom"/>
          </w:tcPr>
          <w:p>
            <w:pPr>
              <w:spacing w:after="0"/>
              <w:rPr>
                <w:sz w:val="15"/>
                <w:szCs w:val="15"/>
                <w:color w:val="auto"/>
              </w:rPr>
            </w:pPr>
          </w:p>
        </w:tc>
        <w:tc>
          <w:tcPr>
            <w:tcW w:w="100" w:type="dxa"/>
            <w:vAlign w:val="bottom"/>
          </w:tcPr>
          <w:p>
            <w:pPr>
              <w:jc w:val="right"/>
              <w:spacing w:after="0" w:line="182" w:lineRule="exact"/>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62,087,947</w:t>
            </w:r>
          </w:p>
        </w:tc>
        <w:tc>
          <w:tcPr>
            <w:tcW w:w="112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$ 122,130,021</w:t>
            </w:r>
          </w:p>
        </w:tc>
      </w:tr>
      <w:tr>
        <w:trPr>
          <w:trHeight w:val="181"/>
        </w:trPr>
        <w:tc>
          <w:tcPr>
            <w:tcW w:w="4620" w:type="dxa"/>
            <w:vAlign w:val="bottom"/>
            <w:shd w:val="clear" w:color="auto" w:fill="CCEEFF"/>
          </w:tcPr>
          <w:p>
            <w:pPr>
              <w:ind w:left="200"/>
              <w:spacing w:after="0" w:line="181" w:lineRule="exact"/>
              <w:rPr>
                <w:sz w:val="20"/>
                <w:szCs w:val="20"/>
                <w:color w:val="auto"/>
              </w:rPr>
            </w:pPr>
            <w:r>
              <w:rPr>
                <w:rFonts w:ascii="Arial" w:cs="Arial" w:eastAsia="Arial" w:hAnsi="Arial"/>
                <w:sz w:val="16"/>
                <w:szCs w:val="16"/>
                <w:color w:val="auto"/>
              </w:rPr>
              <w:t>Adjustments to reconcile net income to net cash provided</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3"/>
        </w:trPr>
        <w:tc>
          <w:tcPr>
            <w:tcW w:w="4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by operating activities:</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2"/>
        </w:trPr>
        <w:tc>
          <w:tcPr>
            <w:tcW w:w="4620" w:type="dxa"/>
            <w:vAlign w:val="bottom"/>
          </w:tcPr>
          <w:p>
            <w:pPr>
              <w:ind w:left="560"/>
              <w:spacing w:after="0" w:line="182" w:lineRule="exact"/>
              <w:rPr>
                <w:sz w:val="20"/>
                <w:szCs w:val="20"/>
                <w:color w:val="auto"/>
              </w:rPr>
            </w:pPr>
            <w:r>
              <w:rPr>
                <w:rFonts w:ascii="Arial" w:cs="Arial" w:eastAsia="Arial" w:hAnsi="Arial"/>
                <w:sz w:val="16"/>
                <w:szCs w:val="16"/>
                <w:color w:val="auto"/>
              </w:rPr>
              <w:t>Depreciation and amortization</w:t>
            </w:r>
          </w:p>
        </w:tc>
        <w:tc>
          <w:tcPr>
            <w:tcW w:w="10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38,364,492</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35,891,067</w:t>
            </w:r>
          </w:p>
        </w:tc>
        <w:tc>
          <w:tcPr>
            <w:tcW w:w="112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32,435,258</w:t>
            </w:r>
          </w:p>
        </w:tc>
      </w:tr>
      <w:tr>
        <w:trPr>
          <w:trHeight w:val="182"/>
        </w:trPr>
        <w:tc>
          <w:tcPr>
            <w:tcW w:w="4620" w:type="dxa"/>
            <w:vAlign w:val="bottom"/>
            <w:shd w:val="clear" w:color="auto" w:fill="CCEEFF"/>
          </w:tcPr>
          <w:p>
            <w:pPr>
              <w:ind w:left="560"/>
              <w:spacing w:after="0" w:line="182" w:lineRule="exact"/>
              <w:rPr>
                <w:sz w:val="20"/>
                <w:szCs w:val="20"/>
                <w:color w:val="auto"/>
              </w:rPr>
            </w:pPr>
            <w:r>
              <w:rPr>
                <w:rFonts w:ascii="Arial" w:cs="Arial" w:eastAsia="Arial" w:hAnsi="Arial"/>
                <w:sz w:val="16"/>
                <w:szCs w:val="16"/>
                <w:color w:val="auto"/>
              </w:rPr>
              <w:t>Loss on disposal of assets</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659,740</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700,102</w:t>
            </w:r>
          </w:p>
        </w:tc>
        <w:tc>
          <w:tcPr>
            <w:tcW w:w="11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598,902</w:t>
            </w:r>
          </w:p>
        </w:tc>
      </w:tr>
      <w:tr>
        <w:trPr>
          <w:trHeight w:val="182"/>
        </w:trPr>
        <w:tc>
          <w:tcPr>
            <w:tcW w:w="4620" w:type="dxa"/>
            <w:vAlign w:val="bottom"/>
          </w:tcPr>
          <w:p>
            <w:pPr>
              <w:ind w:left="560"/>
              <w:spacing w:after="0" w:line="182" w:lineRule="exact"/>
              <w:rPr>
                <w:sz w:val="20"/>
                <w:szCs w:val="20"/>
                <w:color w:val="auto"/>
              </w:rPr>
            </w:pPr>
            <w:r>
              <w:rPr>
                <w:rFonts w:ascii="Arial" w:cs="Arial" w:eastAsia="Arial" w:hAnsi="Arial"/>
                <w:sz w:val="16"/>
                <w:szCs w:val="16"/>
                <w:color w:val="auto"/>
              </w:rPr>
              <w:t>Gain on sale of investments</w:t>
            </w:r>
          </w:p>
        </w:tc>
        <w:tc>
          <w:tcPr>
            <w:tcW w:w="100" w:type="dxa"/>
            <w:vAlign w:val="bottom"/>
          </w:tcPr>
          <w:p>
            <w:pPr>
              <w:spacing w:after="0"/>
              <w:rPr>
                <w:sz w:val="15"/>
                <w:szCs w:val="15"/>
                <w:color w:val="auto"/>
              </w:rPr>
            </w:pPr>
          </w:p>
        </w:tc>
        <w:tc>
          <w:tcPr>
            <w:tcW w:w="120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(5,363,090)</w:t>
            </w:r>
          </w:p>
        </w:tc>
        <w:tc>
          <w:tcPr>
            <w:tcW w:w="100" w:type="dxa"/>
            <w:vAlign w:val="bottom"/>
          </w:tcPr>
          <w:p>
            <w:pPr>
              <w:spacing w:after="0"/>
              <w:rPr>
                <w:sz w:val="15"/>
                <w:szCs w:val="15"/>
                <w:color w:val="auto"/>
              </w:rPr>
            </w:pPr>
          </w:p>
        </w:tc>
        <w:tc>
          <w:tcPr>
            <w:tcW w:w="126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(12,730,583)</w:t>
            </w:r>
          </w:p>
        </w:tc>
        <w:tc>
          <w:tcPr>
            <w:tcW w:w="1120" w:type="dxa"/>
            <w:vAlign w:val="bottom"/>
            <w:gridSpan w:val="2"/>
          </w:tcPr>
          <w:p>
            <w:pPr>
              <w:jc w:val="right"/>
              <w:ind w:right="20"/>
              <w:spacing w:after="0" w:line="182" w:lineRule="exact"/>
              <w:rPr>
                <w:sz w:val="20"/>
                <w:szCs w:val="20"/>
                <w:color w:val="auto"/>
              </w:rPr>
            </w:pPr>
            <w:r>
              <w:rPr>
                <w:rFonts w:ascii="Arial" w:cs="Arial" w:eastAsia="Arial" w:hAnsi="Arial"/>
                <w:sz w:val="16"/>
                <w:szCs w:val="16"/>
                <w:color w:val="auto"/>
              </w:rPr>
              <w:t>(17,126,885)</w:t>
            </w:r>
          </w:p>
        </w:tc>
      </w:tr>
      <w:tr>
        <w:trPr>
          <w:trHeight w:val="182"/>
        </w:trPr>
        <w:tc>
          <w:tcPr>
            <w:tcW w:w="4620" w:type="dxa"/>
            <w:vAlign w:val="bottom"/>
            <w:shd w:val="clear" w:color="auto" w:fill="CCEEFF"/>
          </w:tcPr>
          <w:p>
            <w:pPr>
              <w:ind w:left="560"/>
              <w:spacing w:after="0" w:line="182" w:lineRule="exact"/>
              <w:rPr>
                <w:sz w:val="20"/>
                <w:szCs w:val="20"/>
                <w:color w:val="auto"/>
              </w:rPr>
            </w:pPr>
            <w:r>
              <w:rPr>
                <w:rFonts w:ascii="Arial" w:cs="Arial" w:eastAsia="Arial" w:hAnsi="Arial"/>
                <w:sz w:val="16"/>
                <w:szCs w:val="16"/>
                <w:color w:val="auto"/>
              </w:rPr>
              <w:t>Loss on sale of investments</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6,626,908</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25,998,726</w:t>
            </w:r>
          </w:p>
        </w:tc>
        <w:tc>
          <w:tcPr>
            <w:tcW w:w="11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4,130,927</w:t>
            </w:r>
          </w:p>
        </w:tc>
      </w:tr>
      <w:tr>
        <w:trPr>
          <w:trHeight w:val="182"/>
        </w:trPr>
        <w:tc>
          <w:tcPr>
            <w:tcW w:w="4620" w:type="dxa"/>
            <w:vAlign w:val="bottom"/>
          </w:tcPr>
          <w:p>
            <w:pPr>
              <w:ind w:left="560"/>
              <w:spacing w:after="0" w:line="182" w:lineRule="exact"/>
              <w:rPr>
                <w:sz w:val="20"/>
                <w:szCs w:val="20"/>
                <w:color w:val="auto"/>
              </w:rPr>
            </w:pPr>
            <w:r>
              <w:rPr>
                <w:rFonts w:ascii="Arial" w:cs="Arial" w:eastAsia="Arial" w:hAnsi="Arial"/>
                <w:sz w:val="16"/>
                <w:szCs w:val="16"/>
                <w:color w:val="auto"/>
              </w:rPr>
              <w:t>Impairment loss on available-for-sale securities</w:t>
            </w:r>
          </w:p>
        </w:tc>
        <w:tc>
          <w:tcPr>
            <w:tcW w:w="10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1,290,590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17,909,901</w:t>
            </w:r>
          </w:p>
        </w:tc>
        <w:tc>
          <w:tcPr>
            <w:tcW w:w="112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0</w:t>
            </w:r>
          </w:p>
        </w:tc>
      </w:tr>
      <w:tr>
        <w:trPr>
          <w:trHeight w:val="182"/>
        </w:trPr>
        <w:tc>
          <w:tcPr>
            <w:tcW w:w="4620" w:type="dxa"/>
            <w:vAlign w:val="bottom"/>
            <w:shd w:val="clear" w:color="auto" w:fill="CCEEFF"/>
          </w:tcPr>
          <w:p>
            <w:pPr>
              <w:ind w:left="560"/>
              <w:spacing w:after="0" w:line="182" w:lineRule="exact"/>
              <w:rPr>
                <w:sz w:val="20"/>
                <w:szCs w:val="20"/>
                <w:color w:val="auto"/>
              </w:rPr>
            </w:pPr>
            <w:r>
              <w:rPr>
                <w:rFonts w:ascii="Arial" w:cs="Arial" w:eastAsia="Arial" w:hAnsi="Arial"/>
                <w:sz w:val="16"/>
                <w:szCs w:val="16"/>
                <w:color w:val="auto"/>
              </w:rPr>
              <w:t>Deferred income taxes</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(688,619)</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(842,961)</w:t>
            </w:r>
          </w:p>
        </w:tc>
        <w:tc>
          <w:tcPr>
            <w:tcW w:w="112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(2,926,921)</w:t>
            </w:r>
          </w:p>
        </w:tc>
      </w:tr>
      <w:tr>
        <w:trPr>
          <w:trHeight w:val="181"/>
        </w:trPr>
        <w:tc>
          <w:tcPr>
            <w:tcW w:w="4620" w:type="dxa"/>
            <w:vAlign w:val="bottom"/>
          </w:tcPr>
          <w:p>
            <w:pPr>
              <w:ind w:left="560"/>
              <w:spacing w:after="0" w:line="181" w:lineRule="exact"/>
              <w:rPr>
                <w:sz w:val="20"/>
                <w:szCs w:val="20"/>
                <w:color w:val="auto"/>
              </w:rPr>
            </w:pPr>
            <w:r>
              <w:rPr>
                <w:rFonts w:ascii="Arial" w:cs="Arial" w:eastAsia="Arial" w:hAnsi="Arial"/>
                <w:sz w:val="16"/>
                <w:szCs w:val="16"/>
                <w:color w:val="auto"/>
              </w:rPr>
              <w:t>Stock based compensation expense related to</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4620" w:type="dxa"/>
            <w:vAlign w:val="bottom"/>
          </w:tcPr>
          <w:p>
            <w:pPr>
              <w:ind w:left="740"/>
              <w:spacing w:after="0" w:line="182" w:lineRule="exact"/>
              <w:rPr>
                <w:sz w:val="20"/>
                <w:szCs w:val="20"/>
                <w:color w:val="auto"/>
              </w:rPr>
            </w:pPr>
            <w:r>
              <w:rPr>
                <w:rFonts w:ascii="Arial" w:cs="Arial" w:eastAsia="Arial" w:hAnsi="Arial"/>
                <w:sz w:val="16"/>
                <w:szCs w:val="16"/>
                <w:color w:val="auto"/>
              </w:rPr>
              <w:t>employee stock options,employee stock purchases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4620" w:type="dxa"/>
            <w:vAlign w:val="bottom"/>
          </w:tcPr>
          <w:p>
            <w:pPr>
              <w:ind w:left="740"/>
              <w:spacing w:after="0"/>
              <w:rPr>
                <w:sz w:val="20"/>
                <w:szCs w:val="20"/>
                <w:color w:val="auto"/>
              </w:rPr>
            </w:pPr>
            <w:r>
              <w:rPr>
                <w:rFonts w:ascii="Arial" w:cs="Arial" w:eastAsia="Arial" w:hAnsi="Arial"/>
                <w:sz w:val="16"/>
                <w:szCs w:val="16"/>
                <w:color w:val="auto"/>
              </w:rPr>
              <w:t>and restricted stock</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9,084,891</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10,217,484</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9,293,394</w:t>
            </w:r>
          </w:p>
        </w:tc>
      </w:tr>
      <w:tr>
        <w:trPr>
          <w:trHeight w:val="182"/>
        </w:trPr>
        <w:tc>
          <w:tcPr>
            <w:tcW w:w="4620" w:type="dxa"/>
            <w:vAlign w:val="bottom"/>
            <w:shd w:val="clear" w:color="auto" w:fill="CCEEFF"/>
          </w:tcPr>
          <w:p>
            <w:pPr>
              <w:ind w:left="560"/>
              <w:spacing w:after="0" w:line="182" w:lineRule="exact"/>
              <w:rPr>
                <w:sz w:val="20"/>
                <w:szCs w:val="20"/>
                <w:color w:val="auto"/>
              </w:rPr>
            </w:pPr>
            <w:r>
              <w:rPr>
                <w:rFonts w:ascii="Arial" w:cs="Arial" w:eastAsia="Arial" w:hAnsi="Arial"/>
                <w:sz w:val="16"/>
                <w:szCs w:val="16"/>
                <w:color w:val="auto"/>
              </w:rPr>
              <w:t>Excess tax benefits from stock based compensation</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(31,953)</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(62,647)</w:t>
            </w:r>
          </w:p>
        </w:tc>
        <w:tc>
          <w:tcPr>
            <w:tcW w:w="112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(338,648)</w:t>
            </w:r>
          </w:p>
        </w:tc>
      </w:tr>
      <w:tr>
        <w:trPr>
          <w:trHeight w:val="182"/>
        </w:trPr>
        <w:tc>
          <w:tcPr>
            <w:tcW w:w="4620" w:type="dxa"/>
            <w:vAlign w:val="bottom"/>
          </w:tcPr>
          <w:p>
            <w:pPr>
              <w:ind w:left="560"/>
              <w:spacing w:after="0" w:line="182" w:lineRule="exact"/>
              <w:rPr>
                <w:sz w:val="20"/>
                <w:szCs w:val="20"/>
                <w:color w:val="auto"/>
              </w:rPr>
            </w:pPr>
            <w:r>
              <w:rPr>
                <w:rFonts w:ascii="Arial" w:cs="Arial" w:eastAsia="Arial" w:hAnsi="Arial"/>
                <w:sz w:val="16"/>
                <w:szCs w:val="16"/>
                <w:color w:val="auto"/>
              </w:rPr>
              <w:t>Change in operating assets and liabilities: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4620" w:type="dxa"/>
            <w:vAlign w:val="bottom"/>
            <w:shd w:val="clear" w:color="auto" w:fill="CCEEFF"/>
          </w:tcPr>
          <w:p>
            <w:pPr>
              <w:ind w:left="740"/>
              <w:spacing w:after="0" w:line="182" w:lineRule="exact"/>
              <w:rPr>
                <w:sz w:val="20"/>
                <w:szCs w:val="20"/>
                <w:color w:val="auto"/>
              </w:rPr>
            </w:pPr>
            <w:r>
              <w:rPr>
                <w:rFonts w:ascii="Arial" w:cs="Arial" w:eastAsia="Arial" w:hAnsi="Arial"/>
                <w:sz w:val="16"/>
                <w:szCs w:val="16"/>
                <w:color w:val="auto"/>
              </w:rPr>
              <w:t>Accounts receivable</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(26,630,702)</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19,652,701</w:t>
            </w:r>
          </w:p>
        </w:tc>
        <w:tc>
          <w:tcPr>
            <w:tcW w:w="112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(5,844,115)</w:t>
            </w:r>
          </w:p>
        </w:tc>
      </w:tr>
      <w:tr>
        <w:trPr>
          <w:trHeight w:val="182"/>
        </w:trPr>
        <w:tc>
          <w:tcPr>
            <w:tcW w:w="4620" w:type="dxa"/>
            <w:vAlign w:val="bottom"/>
          </w:tcPr>
          <w:p>
            <w:pPr>
              <w:ind w:left="740"/>
              <w:spacing w:after="0" w:line="182" w:lineRule="exact"/>
              <w:rPr>
                <w:sz w:val="20"/>
                <w:szCs w:val="20"/>
                <w:color w:val="auto"/>
              </w:rPr>
            </w:pPr>
            <w:r>
              <w:rPr>
                <w:rFonts w:ascii="Arial" w:cs="Arial" w:eastAsia="Arial" w:hAnsi="Arial"/>
                <w:sz w:val="16"/>
                <w:szCs w:val="16"/>
                <w:color w:val="auto"/>
              </w:rPr>
              <w:t>Inventories</w:t>
            </w:r>
          </w:p>
        </w:tc>
        <w:tc>
          <w:tcPr>
            <w:tcW w:w="10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1,384,859</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(6,944,295)</w:t>
            </w:r>
          </w:p>
        </w:tc>
        <w:tc>
          <w:tcPr>
            <w:tcW w:w="112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755,838</w:t>
            </w:r>
          </w:p>
        </w:tc>
      </w:tr>
      <w:tr>
        <w:trPr>
          <w:trHeight w:val="182"/>
        </w:trPr>
        <w:tc>
          <w:tcPr>
            <w:tcW w:w="4620" w:type="dxa"/>
            <w:vAlign w:val="bottom"/>
            <w:shd w:val="clear" w:color="auto" w:fill="CCEEFF"/>
          </w:tcPr>
          <w:p>
            <w:pPr>
              <w:ind w:left="740"/>
              <w:spacing w:after="0" w:line="182" w:lineRule="exact"/>
              <w:rPr>
                <w:sz w:val="20"/>
                <w:szCs w:val="20"/>
                <w:color w:val="auto"/>
              </w:rPr>
            </w:pPr>
            <w:r>
              <w:rPr>
                <w:rFonts w:ascii="Arial" w:cs="Arial" w:eastAsia="Arial" w:hAnsi="Arial"/>
                <w:sz w:val="16"/>
                <w:szCs w:val="16"/>
                <w:color w:val="auto"/>
              </w:rPr>
              <w:t>Prepaid expenses and other</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12,232,402</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(12,533,323)</w:t>
            </w:r>
          </w:p>
        </w:tc>
        <w:tc>
          <w:tcPr>
            <w:tcW w:w="112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(3,960,185)</w:t>
            </w:r>
          </w:p>
        </w:tc>
      </w:tr>
      <w:tr>
        <w:trPr>
          <w:trHeight w:val="182"/>
        </w:trPr>
        <w:tc>
          <w:tcPr>
            <w:tcW w:w="4620" w:type="dxa"/>
            <w:vAlign w:val="bottom"/>
          </w:tcPr>
          <w:p>
            <w:pPr>
              <w:ind w:left="740"/>
              <w:spacing w:after="0" w:line="182" w:lineRule="exact"/>
              <w:rPr>
                <w:sz w:val="20"/>
                <w:szCs w:val="20"/>
                <w:color w:val="auto"/>
              </w:rPr>
            </w:pPr>
            <w:r>
              <w:rPr>
                <w:rFonts w:ascii="Arial" w:cs="Arial" w:eastAsia="Arial" w:hAnsi="Arial"/>
                <w:sz w:val="16"/>
                <w:szCs w:val="16"/>
                <w:color w:val="auto"/>
              </w:rPr>
              <w:t>Accounts payable</w:t>
            </w:r>
          </w:p>
        </w:tc>
        <w:tc>
          <w:tcPr>
            <w:tcW w:w="10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7,750,588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(10,825,490)</w:t>
            </w:r>
          </w:p>
        </w:tc>
        <w:tc>
          <w:tcPr>
            <w:tcW w:w="112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6,649,676</w:t>
            </w:r>
          </w:p>
        </w:tc>
      </w:tr>
      <w:tr>
        <w:trPr>
          <w:trHeight w:val="182"/>
        </w:trPr>
        <w:tc>
          <w:tcPr>
            <w:tcW w:w="4620" w:type="dxa"/>
            <w:vAlign w:val="bottom"/>
            <w:shd w:val="clear" w:color="auto" w:fill="CCEEFF"/>
          </w:tcPr>
          <w:p>
            <w:pPr>
              <w:ind w:left="740"/>
              <w:spacing w:after="0" w:line="182" w:lineRule="exact"/>
              <w:rPr>
                <w:sz w:val="20"/>
                <w:szCs w:val="20"/>
                <w:color w:val="auto"/>
              </w:rPr>
            </w:pPr>
            <w:r>
              <w:rPr>
                <w:rFonts w:ascii="Arial" w:cs="Arial" w:eastAsia="Arial" w:hAnsi="Arial"/>
                <w:sz w:val="16"/>
                <w:szCs w:val="16"/>
                <w:color w:val="auto"/>
              </w:rPr>
              <w:t>Accrued liabilities</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1,337,105</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(7,886,409)</w:t>
            </w:r>
          </w:p>
        </w:tc>
        <w:tc>
          <w:tcPr>
            <w:tcW w:w="11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2,923,367</w:t>
            </w:r>
          </w:p>
        </w:tc>
      </w:tr>
      <w:tr>
        <w:trPr>
          <w:trHeight w:val="20"/>
        </w:trPr>
        <w:tc>
          <w:tcPr>
            <w:tcW w:w="4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7"/>
        </w:trPr>
        <w:tc>
          <w:tcPr>
            <w:tcW w:w="4620" w:type="dxa"/>
            <w:vAlign w:val="bottom"/>
          </w:tcPr>
          <w:p>
            <w:pPr>
              <w:ind w:left="920"/>
              <w:spacing w:after="0"/>
              <w:rPr>
                <w:sz w:val="20"/>
                <w:szCs w:val="20"/>
                <w:color w:val="auto"/>
              </w:rPr>
            </w:pPr>
            <w:r>
              <w:rPr>
                <w:rFonts w:ascii="Arial" w:cs="Arial" w:eastAsia="Arial" w:hAnsi="Arial"/>
                <w:sz w:val="16"/>
                <w:szCs w:val="16"/>
                <w:color w:val="auto"/>
              </w:rPr>
              <w:t>Net cash provided by operating activities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110,654,296</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120,632,220</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148,720,629</w:t>
            </w:r>
          </w:p>
        </w:tc>
      </w:tr>
      <w:tr>
        <w:trPr>
          <w:trHeight w:val="187"/>
        </w:trPr>
        <w:tc>
          <w:tcPr>
            <w:tcW w:w="46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462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CASH FLOWS FROM INVESTING ACTIVITIES:</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2"/>
        </w:trPr>
        <w:tc>
          <w:tcPr>
            <w:tcW w:w="4620" w:type="dxa"/>
            <w:vAlign w:val="bottom"/>
          </w:tcPr>
          <w:p>
            <w:pPr>
              <w:ind w:left="200"/>
              <w:spacing w:after="0" w:line="182" w:lineRule="exact"/>
              <w:rPr>
                <w:sz w:val="20"/>
                <w:szCs w:val="20"/>
                <w:color w:val="auto"/>
              </w:rPr>
            </w:pPr>
            <w:r>
              <w:rPr>
                <w:rFonts w:ascii="Arial" w:cs="Arial" w:eastAsia="Arial" w:hAnsi="Arial"/>
                <w:sz w:val="16"/>
                <w:szCs w:val="16"/>
                <w:color w:val="auto"/>
              </w:rPr>
              <w:t>Activity in available-for-sale securities: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4620" w:type="dxa"/>
            <w:vAlign w:val="bottom"/>
            <w:shd w:val="clear" w:color="auto" w:fill="CCEEFF"/>
          </w:tcPr>
          <w:p>
            <w:pPr>
              <w:ind w:left="380"/>
              <w:spacing w:after="0" w:line="182" w:lineRule="exact"/>
              <w:rPr>
                <w:sz w:val="20"/>
                <w:szCs w:val="20"/>
                <w:color w:val="auto"/>
              </w:rPr>
            </w:pPr>
            <w:r>
              <w:rPr>
                <w:rFonts w:ascii="Arial" w:cs="Arial" w:eastAsia="Arial" w:hAnsi="Arial"/>
                <w:sz w:val="16"/>
                <w:szCs w:val="16"/>
                <w:color w:val="auto"/>
              </w:rPr>
              <w:t>Sales proceeds</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56,750,016</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107,959,123</w:t>
            </w:r>
          </w:p>
        </w:tc>
        <w:tc>
          <w:tcPr>
            <w:tcW w:w="11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67,900,543</w:t>
            </w:r>
          </w:p>
        </w:tc>
      </w:tr>
      <w:tr>
        <w:trPr>
          <w:trHeight w:val="182"/>
        </w:trPr>
        <w:tc>
          <w:tcPr>
            <w:tcW w:w="4620" w:type="dxa"/>
            <w:vAlign w:val="bottom"/>
          </w:tcPr>
          <w:p>
            <w:pPr>
              <w:ind w:left="380"/>
              <w:spacing w:after="0" w:line="182" w:lineRule="exact"/>
              <w:rPr>
                <w:sz w:val="20"/>
                <w:szCs w:val="20"/>
                <w:color w:val="auto"/>
              </w:rPr>
            </w:pPr>
            <w:r>
              <w:rPr>
                <w:rFonts w:ascii="Arial" w:cs="Arial" w:eastAsia="Arial" w:hAnsi="Arial"/>
                <w:sz w:val="16"/>
                <w:szCs w:val="16"/>
                <w:color w:val="auto"/>
              </w:rPr>
              <w:t>Maturities and calls</w:t>
            </w:r>
          </w:p>
        </w:tc>
        <w:tc>
          <w:tcPr>
            <w:tcW w:w="10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36,250,000</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108,810,000</w:t>
            </w:r>
          </w:p>
        </w:tc>
        <w:tc>
          <w:tcPr>
            <w:tcW w:w="112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88,200,000</w:t>
            </w:r>
          </w:p>
        </w:tc>
      </w:tr>
      <w:tr>
        <w:trPr>
          <w:trHeight w:val="182"/>
        </w:trPr>
        <w:tc>
          <w:tcPr>
            <w:tcW w:w="4620" w:type="dxa"/>
            <w:vAlign w:val="bottom"/>
            <w:shd w:val="clear" w:color="auto" w:fill="CCEEFF"/>
          </w:tcPr>
          <w:p>
            <w:pPr>
              <w:ind w:left="380"/>
              <w:spacing w:after="0" w:line="182" w:lineRule="exact"/>
              <w:rPr>
                <w:sz w:val="20"/>
                <w:szCs w:val="20"/>
                <w:color w:val="auto"/>
              </w:rPr>
            </w:pPr>
            <w:r>
              <w:rPr>
                <w:rFonts w:ascii="Arial" w:cs="Arial" w:eastAsia="Arial" w:hAnsi="Arial"/>
                <w:sz w:val="16"/>
                <w:szCs w:val="16"/>
                <w:color w:val="auto"/>
              </w:rPr>
              <w:t>Purchases</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(87,903,762)</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(152,269,927)</w:t>
            </w:r>
          </w:p>
        </w:tc>
        <w:tc>
          <w:tcPr>
            <w:tcW w:w="112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(155,538,587)</w:t>
            </w:r>
          </w:p>
        </w:tc>
      </w:tr>
      <w:tr>
        <w:trPr>
          <w:trHeight w:val="182"/>
        </w:trPr>
        <w:tc>
          <w:tcPr>
            <w:tcW w:w="4620" w:type="dxa"/>
            <w:vAlign w:val="bottom"/>
          </w:tcPr>
          <w:p>
            <w:pPr>
              <w:ind w:left="200"/>
              <w:spacing w:after="0" w:line="182" w:lineRule="exact"/>
              <w:rPr>
                <w:sz w:val="20"/>
                <w:szCs w:val="20"/>
                <w:color w:val="auto"/>
              </w:rPr>
            </w:pPr>
            <w:r>
              <w:rPr>
                <w:rFonts w:ascii="Arial" w:cs="Arial" w:eastAsia="Arial" w:hAnsi="Arial"/>
                <w:sz w:val="16"/>
                <w:szCs w:val="16"/>
                <w:color w:val="auto"/>
              </w:rPr>
              <w:t>Plant and equipment additions</w:t>
            </w:r>
          </w:p>
        </w:tc>
        <w:tc>
          <w:tcPr>
            <w:tcW w:w="100" w:type="dxa"/>
            <w:vAlign w:val="bottom"/>
          </w:tcPr>
          <w:p>
            <w:pPr>
              <w:spacing w:after="0"/>
              <w:rPr>
                <w:sz w:val="15"/>
                <w:szCs w:val="15"/>
                <w:color w:val="auto"/>
              </w:rPr>
            </w:pPr>
          </w:p>
        </w:tc>
        <w:tc>
          <w:tcPr>
            <w:tcW w:w="120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(21,130,500)</w:t>
            </w:r>
          </w:p>
        </w:tc>
        <w:tc>
          <w:tcPr>
            <w:tcW w:w="100" w:type="dxa"/>
            <w:vAlign w:val="bottom"/>
          </w:tcPr>
          <w:p>
            <w:pPr>
              <w:spacing w:after="0"/>
              <w:rPr>
                <w:sz w:val="15"/>
                <w:szCs w:val="15"/>
                <w:color w:val="auto"/>
              </w:rPr>
            </w:pPr>
          </w:p>
        </w:tc>
        <w:tc>
          <w:tcPr>
            <w:tcW w:w="126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(45,524,466)</w:t>
            </w:r>
          </w:p>
        </w:tc>
        <w:tc>
          <w:tcPr>
            <w:tcW w:w="1120" w:type="dxa"/>
            <w:vAlign w:val="bottom"/>
            <w:gridSpan w:val="2"/>
          </w:tcPr>
          <w:p>
            <w:pPr>
              <w:jc w:val="right"/>
              <w:ind w:right="20"/>
              <w:spacing w:after="0" w:line="182" w:lineRule="exact"/>
              <w:rPr>
                <w:sz w:val="20"/>
                <w:szCs w:val="20"/>
                <w:color w:val="auto"/>
              </w:rPr>
            </w:pPr>
            <w:r>
              <w:rPr>
                <w:rFonts w:ascii="Arial" w:cs="Arial" w:eastAsia="Arial" w:hAnsi="Arial"/>
                <w:sz w:val="16"/>
                <w:szCs w:val="16"/>
                <w:color w:val="auto"/>
              </w:rPr>
              <w:t>(54,524,322)</w:t>
            </w:r>
          </w:p>
        </w:tc>
      </w:tr>
      <w:tr>
        <w:trPr>
          <w:trHeight w:val="182"/>
        </w:trPr>
        <w:tc>
          <w:tcPr>
            <w:tcW w:w="462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Proceeds from sale of plant and equipment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26,060</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11,002</w:t>
            </w:r>
          </w:p>
        </w:tc>
        <w:tc>
          <w:tcPr>
            <w:tcW w:w="11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368,005</w:t>
            </w:r>
          </w:p>
        </w:tc>
      </w:tr>
      <w:tr>
        <w:trPr>
          <w:trHeight w:val="187"/>
        </w:trPr>
        <w:tc>
          <w:tcPr>
            <w:tcW w:w="4620" w:type="dxa"/>
            <w:vAlign w:val="bottom"/>
          </w:tcPr>
          <w:p>
            <w:pPr>
              <w:ind w:left="200"/>
              <w:spacing w:after="0" w:line="182" w:lineRule="exact"/>
              <w:rPr>
                <w:sz w:val="20"/>
                <w:szCs w:val="20"/>
                <w:color w:val="auto"/>
              </w:rPr>
            </w:pPr>
            <w:r>
              <w:rPr>
                <w:rFonts w:ascii="Arial" w:cs="Arial" w:eastAsia="Arial" w:hAnsi="Arial"/>
                <w:sz w:val="16"/>
                <w:szCs w:val="16"/>
                <w:color w:val="auto"/>
              </w:rPr>
              <w:t>Decrease (increase) in other assets</w:t>
            </w:r>
          </w:p>
        </w:tc>
        <w:tc>
          <w:tcPr>
            <w:tcW w:w="100" w:type="dxa"/>
            <w:vAlign w:val="bottom"/>
          </w:tcPr>
          <w:p>
            <w:pPr>
              <w:spacing w:after="0"/>
              <w:rPr>
                <w:sz w:val="16"/>
                <w:szCs w:val="16"/>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233,686</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(3,183,770)</w:t>
            </w:r>
          </w:p>
        </w:tc>
        <w:tc>
          <w:tcPr>
            <w:tcW w:w="1120" w:type="dxa"/>
            <w:vAlign w:val="bottom"/>
            <w:gridSpan w:val="2"/>
          </w:tcPr>
          <w:p>
            <w:pPr>
              <w:jc w:val="right"/>
              <w:ind w:right="20"/>
              <w:spacing w:after="0" w:line="182" w:lineRule="exact"/>
              <w:rPr>
                <w:sz w:val="20"/>
                <w:szCs w:val="20"/>
                <w:color w:val="auto"/>
              </w:rPr>
            </w:pPr>
            <w:r>
              <w:rPr>
                <w:rFonts w:ascii="Arial" w:cs="Arial" w:eastAsia="Arial" w:hAnsi="Arial"/>
                <w:sz w:val="16"/>
                <w:szCs w:val="16"/>
                <w:color w:val="auto"/>
              </w:rPr>
              <w:t>(86,912)</w:t>
            </w:r>
          </w:p>
        </w:tc>
      </w:tr>
      <w:tr>
        <w:trPr>
          <w:trHeight w:val="181"/>
        </w:trPr>
        <w:tc>
          <w:tcPr>
            <w:tcW w:w="4620" w:type="dxa"/>
            <w:vAlign w:val="bottom"/>
            <w:shd w:val="clear" w:color="auto" w:fill="CCEEFF"/>
          </w:tcPr>
          <w:p>
            <w:pPr>
              <w:ind w:left="920"/>
              <w:spacing w:after="0" w:line="181" w:lineRule="exact"/>
              <w:rPr>
                <w:sz w:val="20"/>
                <w:szCs w:val="20"/>
                <w:color w:val="auto"/>
              </w:rPr>
            </w:pPr>
            <w:r>
              <w:rPr>
                <w:rFonts w:ascii="Arial" w:cs="Arial" w:eastAsia="Arial" w:hAnsi="Arial"/>
                <w:sz w:val="16"/>
                <w:szCs w:val="16"/>
                <w:color w:val="auto"/>
              </w:rPr>
              <w:t>Net cash provided by (used for) investing</w:t>
            </w:r>
          </w:p>
        </w:tc>
        <w:tc>
          <w:tcPr>
            <w:tcW w:w="100" w:type="dxa"/>
            <w:vAlign w:val="bottom"/>
            <w:tcBorders>
              <w:top w:val="single" w:sz="8" w:color="auto"/>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3"/>
        </w:trPr>
        <w:tc>
          <w:tcPr>
            <w:tcW w:w="4620" w:type="dxa"/>
            <w:vAlign w:val="bottom"/>
            <w:shd w:val="clear" w:color="auto" w:fill="CCEEFF"/>
          </w:tcPr>
          <w:p>
            <w:pPr>
              <w:ind w:left="1100"/>
              <w:spacing w:after="0"/>
              <w:rPr>
                <w:sz w:val="20"/>
                <w:szCs w:val="20"/>
                <w:color w:val="auto"/>
              </w:rPr>
            </w:pPr>
            <w:r>
              <w:rPr>
                <w:rFonts w:ascii="Arial" w:cs="Arial" w:eastAsia="Arial" w:hAnsi="Arial"/>
                <w:sz w:val="16"/>
                <w:szCs w:val="16"/>
                <w:color w:val="auto"/>
              </w:rPr>
              <w:t>activities</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(15,774,500)</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15,801,962</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(53,681,273)</w:t>
            </w:r>
          </w:p>
        </w:tc>
      </w:tr>
      <w:tr>
        <w:trPr>
          <w:trHeight w:val="369"/>
        </w:trPr>
        <w:tc>
          <w:tcPr>
            <w:tcW w:w="462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2"/>
        </w:trPr>
        <w:tc>
          <w:tcPr>
            <w:tcW w:w="462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Issuance of common stock from stock plan transactions</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7,487,895</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11,815,508</w:t>
            </w:r>
          </w:p>
        </w:tc>
        <w:tc>
          <w:tcPr>
            <w:tcW w:w="11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40,089,468</w:t>
            </w:r>
          </w:p>
        </w:tc>
      </w:tr>
      <w:tr>
        <w:trPr>
          <w:trHeight w:val="182"/>
        </w:trPr>
        <w:tc>
          <w:tcPr>
            <w:tcW w:w="4620" w:type="dxa"/>
            <w:vAlign w:val="bottom"/>
          </w:tcPr>
          <w:p>
            <w:pPr>
              <w:ind w:left="200"/>
              <w:spacing w:after="0" w:line="182" w:lineRule="exact"/>
              <w:rPr>
                <w:sz w:val="20"/>
                <w:szCs w:val="20"/>
                <w:color w:val="auto"/>
              </w:rPr>
            </w:pPr>
            <w:r>
              <w:rPr>
                <w:rFonts w:ascii="Arial" w:cs="Arial" w:eastAsia="Arial" w:hAnsi="Arial"/>
                <w:sz w:val="16"/>
                <w:szCs w:val="16"/>
                <w:color w:val="auto"/>
              </w:rPr>
              <w:t>Cash dividends paid</w:t>
            </w:r>
          </w:p>
        </w:tc>
        <w:tc>
          <w:tcPr>
            <w:tcW w:w="100" w:type="dxa"/>
            <w:vAlign w:val="bottom"/>
          </w:tcPr>
          <w:p>
            <w:pPr>
              <w:spacing w:after="0"/>
              <w:rPr>
                <w:sz w:val="15"/>
                <w:szCs w:val="15"/>
                <w:color w:val="auto"/>
              </w:rPr>
            </w:pPr>
          </w:p>
        </w:tc>
        <w:tc>
          <w:tcPr>
            <w:tcW w:w="120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(60,597,710)</w:t>
            </w:r>
          </w:p>
        </w:tc>
        <w:tc>
          <w:tcPr>
            <w:tcW w:w="100" w:type="dxa"/>
            <w:vAlign w:val="bottom"/>
          </w:tcPr>
          <w:p>
            <w:pPr>
              <w:spacing w:after="0"/>
              <w:rPr>
                <w:sz w:val="15"/>
                <w:szCs w:val="15"/>
                <w:color w:val="auto"/>
              </w:rPr>
            </w:pPr>
          </w:p>
        </w:tc>
        <w:tc>
          <w:tcPr>
            <w:tcW w:w="126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(60,463,115)</w:t>
            </w:r>
          </w:p>
        </w:tc>
        <w:tc>
          <w:tcPr>
            <w:tcW w:w="1120" w:type="dxa"/>
            <w:vAlign w:val="bottom"/>
            <w:gridSpan w:val="2"/>
          </w:tcPr>
          <w:p>
            <w:pPr>
              <w:jc w:val="right"/>
              <w:ind w:right="20"/>
              <w:spacing w:after="0" w:line="182" w:lineRule="exact"/>
              <w:rPr>
                <w:sz w:val="20"/>
                <w:szCs w:val="20"/>
                <w:color w:val="auto"/>
              </w:rPr>
            </w:pPr>
            <w:r>
              <w:rPr>
                <w:rFonts w:ascii="Arial" w:cs="Arial" w:eastAsia="Arial" w:hAnsi="Arial"/>
                <w:sz w:val="16"/>
                <w:szCs w:val="16"/>
                <w:color w:val="auto"/>
              </w:rPr>
              <w:t>(55,922,147)</w:t>
            </w:r>
          </w:p>
        </w:tc>
      </w:tr>
      <w:tr>
        <w:trPr>
          <w:trHeight w:val="182"/>
        </w:trPr>
        <w:tc>
          <w:tcPr>
            <w:tcW w:w="462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Repurchases of common stock</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0</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(111,259,803)</w:t>
            </w:r>
          </w:p>
        </w:tc>
        <w:tc>
          <w:tcPr>
            <w:tcW w:w="112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(7,328,015)</w:t>
            </w:r>
          </w:p>
        </w:tc>
      </w:tr>
      <w:tr>
        <w:trPr>
          <w:trHeight w:val="182"/>
        </w:trPr>
        <w:tc>
          <w:tcPr>
            <w:tcW w:w="4620" w:type="dxa"/>
            <w:vAlign w:val="bottom"/>
          </w:tcPr>
          <w:p>
            <w:pPr>
              <w:ind w:left="200"/>
              <w:spacing w:after="0" w:line="182" w:lineRule="exact"/>
              <w:rPr>
                <w:sz w:val="20"/>
                <w:szCs w:val="20"/>
                <w:color w:val="auto"/>
              </w:rPr>
            </w:pPr>
            <w:r>
              <w:rPr>
                <w:rFonts w:ascii="Arial" w:cs="Arial" w:eastAsia="Arial" w:hAnsi="Arial"/>
                <w:sz w:val="16"/>
                <w:szCs w:val="16"/>
                <w:color w:val="auto"/>
              </w:rPr>
              <w:t>Excess tax benefits from stock based compensation</w:t>
            </w:r>
          </w:p>
        </w:tc>
        <w:tc>
          <w:tcPr>
            <w:tcW w:w="10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31,953</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62,647</w:t>
            </w:r>
          </w:p>
        </w:tc>
        <w:tc>
          <w:tcPr>
            <w:tcW w:w="112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338,648</w:t>
            </w:r>
          </w:p>
        </w:tc>
      </w:tr>
      <w:tr>
        <w:trPr>
          <w:trHeight w:val="24"/>
        </w:trPr>
        <w:tc>
          <w:tcPr>
            <w:tcW w:w="4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4620" w:type="dxa"/>
            <w:vAlign w:val="bottom"/>
            <w:shd w:val="clear" w:color="auto" w:fill="CCEEFF"/>
          </w:tcPr>
          <w:p>
            <w:pPr>
              <w:ind w:left="920"/>
              <w:spacing w:after="0" w:line="182" w:lineRule="exact"/>
              <w:rPr>
                <w:sz w:val="20"/>
                <w:szCs w:val="20"/>
                <w:color w:val="auto"/>
              </w:rPr>
            </w:pPr>
            <w:r>
              <w:rPr>
                <w:rFonts w:ascii="Arial" w:cs="Arial" w:eastAsia="Arial" w:hAnsi="Arial"/>
                <w:sz w:val="16"/>
                <w:szCs w:val="16"/>
                <w:color w:val="auto"/>
              </w:rPr>
              <w:t>Net cash used for financing activities</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(53,077,862)</w:t>
            </w: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(159,844,763)</w:t>
            </w:r>
          </w:p>
        </w:tc>
        <w:tc>
          <w:tcPr>
            <w:tcW w:w="112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(22,822,046)</w:t>
            </w:r>
          </w:p>
        </w:tc>
      </w:tr>
      <w:tr>
        <w:trPr>
          <w:trHeight w:val="368"/>
        </w:trPr>
        <w:tc>
          <w:tcPr>
            <w:tcW w:w="4620" w:type="dxa"/>
            <w:vAlign w:val="bottom"/>
          </w:tcPr>
          <w:p>
            <w:pPr>
              <w:ind w:left="20"/>
              <w:spacing w:after="0"/>
              <w:rPr>
                <w:sz w:val="20"/>
                <w:szCs w:val="20"/>
                <w:color w:val="auto"/>
              </w:rPr>
            </w:pPr>
            <w:r>
              <w:rPr>
                <w:rFonts w:ascii="Arial" w:cs="Arial" w:eastAsia="Arial" w:hAnsi="Arial"/>
                <w:sz w:val="16"/>
                <w:szCs w:val="16"/>
                <w:color w:val="auto"/>
              </w:rPr>
              <w:t>NET INCREASE(DECREASE) IN CASH AND CASH</w:t>
            </w: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95"/>
        </w:trPr>
        <w:tc>
          <w:tcPr>
            <w:tcW w:w="4620" w:type="dxa"/>
            <w:vAlign w:val="bottom"/>
          </w:tcPr>
          <w:p>
            <w:pPr>
              <w:ind w:left="200"/>
              <w:spacing w:after="0"/>
              <w:rPr>
                <w:sz w:val="20"/>
                <w:szCs w:val="20"/>
                <w:color w:val="auto"/>
              </w:rPr>
            </w:pPr>
            <w:r>
              <w:rPr>
                <w:rFonts w:ascii="Arial" w:cs="Arial" w:eastAsia="Arial" w:hAnsi="Arial"/>
                <w:sz w:val="16"/>
                <w:szCs w:val="16"/>
                <w:color w:val="auto"/>
              </w:rPr>
              <w:t>EQUIVALENTS</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41,801,934</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(23,410,581)</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72,217,310</w:t>
            </w:r>
          </w:p>
        </w:tc>
      </w:tr>
      <w:tr>
        <w:trPr>
          <w:trHeight w:val="171"/>
        </w:trPr>
        <w:tc>
          <w:tcPr>
            <w:tcW w:w="4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1"/>
        </w:trPr>
        <w:tc>
          <w:tcPr>
            <w:tcW w:w="462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CASH AND CASH EQUIVALENTS,</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3"/>
        </w:trPr>
        <w:tc>
          <w:tcPr>
            <w:tcW w:w="462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Beginning of year</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294,306,512</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317,717,093</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245,499,783</w:t>
            </w:r>
          </w:p>
        </w:tc>
      </w:tr>
      <w:tr>
        <w:trPr>
          <w:trHeight w:val="368"/>
        </w:trPr>
        <w:tc>
          <w:tcPr>
            <w:tcW w:w="462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83"/>
        </w:trPr>
        <w:tc>
          <w:tcPr>
            <w:tcW w:w="4620" w:type="dxa"/>
            <w:vAlign w:val="bottom"/>
          </w:tcPr>
          <w:p>
            <w:pPr>
              <w:ind w:left="200"/>
              <w:spacing w:after="0"/>
              <w:rPr>
                <w:sz w:val="20"/>
                <w:szCs w:val="20"/>
                <w:color w:val="auto"/>
              </w:rPr>
            </w:pPr>
            <w:r>
              <w:rPr>
                <w:rFonts w:ascii="Arial" w:cs="Arial" w:eastAsia="Arial" w:hAnsi="Arial"/>
                <w:sz w:val="16"/>
                <w:szCs w:val="16"/>
                <w:color w:val="auto"/>
              </w:rPr>
              <w:t>End of year</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336,108,446</w:t>
            </w:r>
          </w:p>
        </w:tc>
        <w:tc>
          <w:tcPr>
            <w:tcW w:w="2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300"/>
              <w:spacing w:after="0"/>
              <w:rPr>
                <w:sz w:val="20"/>
                <w:szCs w:val="20"/>
                <w:color w:val="auto"/>
              </w:rPr>
            </w:pPr>
            <w:r>
              <w:rPr>
                <w:rFonts w:ascii="Arial" w:cs="Arial" w:eastAsia="Arial" w:hAnsi="Arial"/>
                <w:sz w:val="16"/>
                <w:szCs w:val="16"/>
                <w:color w:val="auto"/>
              </w:rPr>
              <w:t>294,306,512</w:t>
            </w:r>
          </w:p>
        </w:tc>
        <w:tc>
          <w:tcPr>
            <w:tcW w:w="1120" w:type="dxa"/>
            <w:vAlign w:val="bottom"/>
            <w:gridSpan w:val="2"/>
          </w:tcPr>
          <w:p>
            <w:pPr>
              <w:jc w:val="right"/>
              <w:ind w:right="60"/>
              <w:spacing w:after="0"/>
              <w:rPr>
                <w:sz w:val="20"/>
                <w:szCs w:val="20"/>
                <w:color w:val="auto"/>
              </w:rPr>
            </w:pPr>
            <w:r>
              <w:rPr>
                <w:rFonts w:ascii="Arial" w:cs="Arial" w:eastAsia="Arial" w:hAnsi="Arial"/>
                <w:sz w:val="16"/>
                <w:szCs w:val="16"/>
                <w:color w:val="auto"/>
              </w:rPr>
              <w:t>$ 317,717,093</w:t>
            </w:r>
          </w:p>
        </w:tc>
      </w:tr>
      <w:tr>
        <w:trPr>
          <w:trHeight w:val="20"/>
        </w:trPr>
        <w:tc>
          <w:tcPr>
            <w:tcW w:w="4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9" w:lineRule="exact"/>
        <w:rPr>
          <w:sz w:val="20"/>
          <w:szCs w:val="20"/>
          <w:color w:val="auto"/>
        </w:rPr>
      </w:pPr>
    </w:p>
    <w:p>
      <w:pPr>
        <w:ind w:left="134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18"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spacing w:after="0" w:line="168" w:lineRule="exact"/>
        <w:rPr>
          <w:sz w:val="20"/>
          <w:szCs w:val="20"/>
          <w:color w:val="auto"/>
        </w:rPr>
      </w:pPr>
    </w:p>
    <w:p>
      <w:pPr>
        <w:ind w:left="600" w:right="4139" w:hanging="311"/>
        <w:spacing w:after="0" w:line="443" w:lineRule="auto"/>
        <w:tabs>
          <w:tab w:leader="none" w:pos="6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 xml:space="preserve">SUMMARY OF SIGNIFICANT ACCOUNTING AND REPORTING POLICIES </w:t>
      </w:r>
      <w:r>
        <w:rPr>
          <w:rFonts w:ascii="Arial" w:cs="Arial" w:eastAsia="Arial" w:hAnsi="Arial"/>
          <w:sz w:val="16"/>
          <w:szCs w:val="16"/>
          <w:u w:val="single" w:color="auto"/>
          <w:color w:val="auto"/>
        </w:rPr>
        <w:t>The Company</w:t>
      </w:r>
    </w:p>
    <w:p>
      <w:pPr>
        <w:spacing w:after="0" w:line="1" w:lineRule="exact"/>
        <w:rPr>
          <w:rFonts w:ascii="Arial" w:cs="Arial" w:eastAsia="Arial" w:hAnsi="Arial"/>
          <w:sz w:val="16"/>
          <w:szCs w:val="16"/>
          <w:color w:val="auto"/>
        </w:rPr>
      </w:pPr>
    </w:p>
    <w:p>
      <w:pPr>
        <w:ind w:left="600" w:right="1579"/>
        <w:spacing w:after="0"/>
        <w:rPr>
          <w:rFonts w:ascii="Arial" w:cs="Arial" w:eastAsia="Arial" w:hAnsi="Arial"/>
          <w:sz w:val="16"/>
          <w:szCs w:val="16"/>
          <w:color w:val="auto"/>
        </w:rPr>
      </w:pPr>
      <w:r>
        <w:rPr>
          <w:rFonts w:ascii="Arial" w:cs="Arial" w:eastAsia="Arial" w:hAnsi="Arial"/>
          <w:sz w:val="16"/>
          <w:szCs w:val="16"/>
          <w:color w:val="auto"/>
        </w:rPr>
        <w:t>Gentex Corporation designs, develops, manufactures and markets proprietary electro-optical products: automatic-dimming rearview mirrors for the automotive industry, fire protection products for the commercial building industry and variable dimmable windows for the aircraft industry. A substantial portion of the Company’s net sales and accounts receivable result from transactions with domestic and foreign automotive manufacturers and Tier 1 suppliers. The Company’s fire protection products are primarily sold to domestic distributors and original equipment manufacturers of fire and security systems. The Company does not require collateral or other security for trade accounts receivable.</w:t>
      </w:r>
    </w:p>
    <w:p>
      <w:pPr>
        <w:spacing w:after="0" w:line="158" w:lineRule="exact"/>
        <w:rPr>
          <w:rFonts w:ascii="Arial" w:cs="Arial" w:eastAsia="Arial" w:hAnsi="Arial"/>
          <w:sz w:val="16"/>
          <w:szCs w:val="16"/>
          <w:color w:val="auto"/>
        </w:rPr>
      </w:pPr>
    </w:p>
    <w:p>
      <w:pPr>
        <w:ind w:left="600" w:right="3379"/>
        <w:spacing w:after="0" w:line="443" w:lineRule="auto"/>
        <w:rPr>
          <w:rFonts w:ascii="Arial" w:cs="Arial" w:eastAsia="Arial" w:hAnsi="Arial"/>
          <w:sz w:val="16"/>
          <w:szCs w:val="16"/>
          <w:color w:val="auto"/>
        </w:rPr>
      </w:pPr>
      <w:r>
        <w:rPr>
          <w:rFonts w:ascii="Arial" w:cs="Arial" w:eastAsia="Arial" w:hAnsi="Arial"/>
          <w:sz w:val="16"/>
          <w:szCs w:val="16"/>
          <w:color w:val="auto"/>
        </w:rPr>
        <w:t xml:space="preserve">Significant accounting policies of the Company not described elsewhere are as follows: </w:t>
      </w:r>
      <w:r>
        <w:rPr>
          <w:rFonts w:ascii="Arial" w:cs="Arial" w:eastAsia="Arial" w:hAnsi="Arial"/>
          <w:sz w:val="16"/>
          <w:szCs w:val="16"/>
          <w:u w:val="single" w:color="auto"/>
          <w:color w:val="auto"/>
        </w:rPr>
        <w:t>Consolidation</w:t>
      </w:r>
    </w:p>
    <w:p>
      <w:pPr>
        <w:spacing w:after="0" w:line="1" w:lineRule="exact"/>
        <w:rPr>
          <w:rFonts w:ascii="Arial" w:cs="Arial" w:eastAsia="Arial" w:hAnsi="Arial"/>
          <w:sz w:val="16"/>
          <w:szCs w:val="16"/>
          <w:color w:val="auto"/>
        </w:rPr>
      </w:pPr>
    </w:p>
    <w:p>
      <w:pPr>
        <w:ind w:left="600" w:right="1819"/>
        <w:spacing w:after="0" w:line="244" w:lineRule="auto"/>
        <w:rPr>
          <w:rFonts w:ascii="Arial" w:cs="Arial" w:eastAsia="Arial" w:hAnsi="Arial"/>
          <w:sz w:val="16"/>
          <w:szCs w:val="16"/>
          <w:color w:val="auto"/>
        </w:rPr>
      </w:pPr>
      <w:r>
        <w:rPr>
          <w:rFonts w:ascii="Arial" w:cs="Arial" w:eastAsia="Arial" w:hAnsi="Arial"/>
          <w:sz w:val="16"/>
          <w:szCs w:val="16"/>
          <w:color w:val="auto"/>
        </w:rPr>
        <w:t>The consolidated financial statements include the accounts of Gentex Corporation and all of its wholly-owned subsidiaries (together the “Company”). All significant intercompany accounts and transactions have been eliminated.</w:t>
      </w:r>
    </w:p>
    <w:p>
      <w:pPr>
        <w:spacing w:after="0" w:line="155"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u w:val="single" w:color="auto"/>
          <w:color w:val="auto"/>
        </w:rPr>
        <w:t>Cash Equivalents</w:t>
      </w:r>
    </w:p>
    <w:p>
      <w:pPr>
        <w:spacing w:after="0" w:line="156" w:lineRule="exact"/>
        <w:rPr>
          <w:rFonts w:ascii="Arial" w:cs="Arial" w:eastAsia="Arial" w:hAnsi="Arial"/>
          <w:sz w:val="16"/>
          <w:szCs w:val="16"/>
          <w:color w:val="auto"/>
        </w:rPr>
      </w:pPr>
    </w:p>
    <w:p>
      <w:pPr>
        <w:ind w:left="600" w:right="1759"/>
        <w:spacing w:after="0" w:line="451" w:lineRule="auto"/>
        <w:rPr>
          <w:rFonts w:ascii="Arial" w:cs="Arial" w:eastAsia="Arial" w:hAnsi="Arial"/>
          <w:sz w:val="16"/>
          <w:szCs w:val="16"/>
          <w:color w:val="auto"/>
        </w:rPr>
      </w:pPr>
      <w:r>
        <w:rPr>
          <w:rFonts w:ascii="Arial" w:cs="Arial" w:eastAsia="Arial" w:hAnsi="Arial"/>
          <w:sz w:val="16"/>
          <w:szCs w:val="16"/>
          <w:color w:val="auto"/>
        </w:rPr>
        <w:t xml:space="preserve">Cash equivalents consist of funds invested in bank accounts and money market funds that have daily liquidity. </w:t>
      </w:r>
      <w:r>
        <w:rPr>
          <w:rFonts w:ascii="Arial" w:cs="Arial" w:eastAsia="Arial" w:hAnsi="Arial"/>
          <w:sz w:val="16"/>
          <w:szCs w:val="16"/>
          <w:u w:val="single" w:color="auto"/>
          <w:color w:val="auto"/>
        </w:rPr>
        <w:t>Allowance For Doubtful Accounts</w:t>
      </w:r>
    </w:p>
    <w:p>
      <w:pPr>
        <w:spacing w:after="0" w:line="1" w:lineRule="exact"/>
        <w:rPr>
          <w:rFonts w:ascii="Arial" w:cs="Arial" w:eastAsia="Arial" w:hAnsi="Arial"/>
          <w:sz w:val="16"/>
          <w:szCs w:val="16"/>
          <w:color w:val="auto"/>
        </w:rPr>
      </w:pPr>
    </w:p>
    <w:p>
      <w:pPr>
        <w:ind w:left="600" w:right="1539"/>
        <w:spacing w:after="0" w:line="241" w:lineRule="auto"/>
        <w:rPr>
          <w:rFonts w:ascii="Arial" w:cs="Arial" w:eastAsia="Arial" w:hAnsi="Arial"/>
          <w:sz w:val="16"/>
          <w:szCs w:val="16"/>
          <w:color w:val="auto"/>
        </w:rPr>
      </w:pPr>
      <w:r>
        <w:rPr>
          <w:rFonts w:ascii="Arial" w:cs="Arial" w:eastAsia="Arial" w:hAnsi="Arial"/>
          <w:sz w:val="16"/>
          <w:szCs w:val="16"/>
          <w:color w:val="auto"/>
        </w:rPr>
        <w:t>The Company bases its allowances related to receivables on historical credit and collections experience, and the specific identification of other potential problems, including the economic climate. Actual collections can differ, requiring adjustments to the allowances. Individual accounts receivable balances are evaluated on a monthly basis, and those balances considered uncollectible are charged to the allowance. Collections of amounts previously written off are recorded as an increase to the allowance.</w:t>
      </w:r>
    </w:p>
    <w:p>
      <w:pPr>
        <w:spacing w:after="0" w:line="145"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The following table presents the activity in the Company’s allowance for doubtful accounts:</w:t>
      </w:r>
    </w:p>
    <w:p>
      <w:pPr>
        <w:spacing w:after="0" w:line="179"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38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color w:val="auto"/>
              </w:rPr>
              <w:t>Additions/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38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3"/>
          </w:tcPr>
          <w:p>
            <w:pPr>
              <w:jc w:val="center"/>
              <w:ind w:right="300"/>
              <w:spacing w:after="0" w:line="182" w:lineRule="exact"/>
              <w:rPr>
                <w:sz w:val="20"/>
                <w:szCs w:val="20"/>
                <w:color w:val="auto"/>
              </w:rPr>
            </w:pPr>
            <w:r>
              <w:rPr>
                <w:rFonts w:ascii="Arial" w:cs="Arial" w:eastAsia="Arial" w:hAnsi="Arial"/>
                <w:sz w:val="16"/>
                <w:szCs w:val="16"/>
                <w:color w:val="auto"/>
                <w:w w:val="99"/>
              </w:rPr>
              <w:t>Reductions</w:t>
            </w:r>
          </w:p>
        </w:tc>
        <w:tc>
          <w:tcPr>
            <w:tcW w:w="1220" w:type="dxa"/>
            <w:vAlign w:val="bottom"/>
            <w:gridSpan w:val="3"/>
          </w:tcPr>
          <w:p>
            <w:pPr>
              <w:ind w:left="20"/>
              <w:spacing w:after="0" w:line="182" w:lineRule="exact"/>
              <w:rPr>
                <w:sz w:val="20"/>
                <w:szCs w:val="20"/>
                <w:color w:val="auto"/>
              </w:rPr>
            </w:pPr>
            <w:r>
              <w:rPr>
                <w:rFonts w:ascii="Arial" w:cs="Arial" w:eastAsia="Arial" w:hAnsi="Arial"/>
                <w:sz w:val="16"/>
                <w:szCs w:val="16"/>
                <w:color w:val="auto"/>
              </w:rPr>
              <w:t>Deductions*</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3880" w:type="dxa"/>
            <w:vAlign w:val="bottom"/>
          </w:tcPr>
          <w:p>
            <w:pPr>
              <w:spacing w:after="0"/>
              <w:rPr>
                <w:sz w:val="15"/>
                <w:szCs w:val="15"/>
                <w:color w:val="auto"/>
              </w:rPr>
            </w:pPr>
          </w:p>
        </w:tc>
        <w:tc>
          <w:tcPr>
            <w:tcW w:w="1160" w:type="dxa"/>
            <w:vAlign w:val="bottom"/>
            <w:gridSpan w:val="2"/>
          </w:tcPr>
          <w:p>
            <w:pPr>
              <w:jc w:val="center"/>
              <w:ind w:right="320"/>
              <w:spacing w:after="0" w:line="182" w:lineRule="exact"/>
              <w:rPr>
                <w:sz w:val="20"/>
                <w:szCs w:val="20"/>
                <w:color w:val="auto"/>
              </w:rPr>
            </w:pPr>
            <w:r>
              <w:rPr>
                <w:rFonts w:ascii="Arial" w:cs="Arial" w:eastAsia="Arial" w:hAnsi="Arial"/>
                <w:sz w:val="16"/>
                <w:szCs w:val="16"/>
                <w:color w:val="auto"/>
              </w:rPr>
              <w:t>Beginning</w:t>
            </w:r>
          </w:p>
        </w:tc>
        <w:tc>
          <w:tcPr>
            <w:tcW w:w="1220" w:type="dxa"/>
            <w:vAlign w:val="bottom"/>
            <w:gridSpan w:val="3"/>
          </w:tcPr>
          <w:p>
            <w:pPr>
              <w:jc w:val="center"/>
              <w:ind w:right="300"/>
              <w:spacing w:after="0" w:line="182" w:lineRule="exact"/>
              <w:rPr>
                <w:sz w:val="20"/>
                <w:szCs w:val="20"/>
                <w:color w:val="auto"/>
              </w:rPr>
            </w:pPr>
            <w:r>
              <w:rPr>
                <w:rFonts w:ascii="Arial" w:cs="Arial" w:eastAsia="Arial" w:hAnsi="Arial"/>
                <w:sz w:val="16"/>
                <w:szCs w:val="16"/>
                <w:color w:val="auto"/>
              </w:rPr>
              <w:t>to Costs and</w:t>
            </w:r>
          </w:p>
        </w:tc>
        <w:tc>
          <w:tcPr>
            <w:tcW w:w="100" w:type="dxa"/>
            <w:vAlign w:val="bottom"/>
          </w:tcPr>
          <w:p>
            <w:pPr>
              <w:spacing w:after="0"/>
              <w:rPr>
                <w:sz w:val="15"/>
                <w:szCs w:val="15"/>
                <w:color w:val="auto"/>
              </w:rPr>
            </w:pPr>
          </w:p>
        </w:tc>
        <w:tc>
          <w:tcPr>
            <w:tcW w:w="1120" w:type="dxa"/>
            <w:vAlign w:val="bottom"/>
            <w:gridSpan w:val="2"/>
          </w:tcPr>
          <w:p>
            <w:pPr>
              <w:jc w:val="right"/>
              <w:ind w:right="400"/>
              <w:spacing w:after="0" w:line="182" w:lineRule="exact"/>
              <w:rPr>
                <w:sz w:val="20"/>
                <w:szCs w:val="20"/>
                <w:color w:val="auto"/>
              </w:rPr>
            </w:pPr>
            <w:r>
              <w:rPr>
                <w:rFonts w:ascii="Arial" w:cs="Arial" w:eastAsia="Arial" w:hAnsi="Arial"/>
                <w:sz w:val="16"/>
                <w:szCs w:val="16"/>
                <w:color w:val="auto"/>
                <w:w w:val="98"/>
              </w:rPr>
              <w:t>and Other</w:t>
            </w:r>
          </w:p>
        </w:tc>
        <w:tc>
          <w:tcPr>
            <w:tcW w:w="920" w:type="dxa"/>
            <w:vAlign w:val="bottom"/>
            <w:gridSpan w:val="2"/>
          </w:tcPr>
          <w:p>
            <w:pPr>
              <w:jc w:val="center"/>
              <w:ind w:right="60"/>
              <w:spacing w:after="0" w:line="182" w:lineRule="exact"/>
              <w:rPr>
                <w:sz w:val="20"/>
                <w:szCs w:val="20"/>
                <w:color w:val="auto"/>
              </w:rPr>
            </w:pPr>
            <w:r>
              <w:rPr>
                <w:rFonts w:ascii="Arial" w:cs="Arial" w:eastAsia="Arial" w:hAnsi="Arial"/>
                <w:sz w:val="16"/>
                <w:szCs w:val="16"/>
                <w:color w:val="auto"/>
              </w:rPr>
              <w:t>Ending</w:t>
            </w:r>
          </w:p>
        </w:tc>
      </w:tr>
      <w:tr>
        <w:trPr>
          <w:trHeight w:val="183"/>
        </w:trPr>
        <w:tc>
          <w:tcPr>
            <w:tcW w:w="3880" w:type="dxa"/>
            <w:vAlign w:val="bottom"/>
          </w:tcPr>
          <w:p>
            <w:pPr>
              <w:spacing w:after="0"/>
              <w:rPr>
                <w:sz w:val="15"/>
                <w:szCs w:val="15"/>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color w:val="auto"/>
              </w:rPr>
              <w:t>Balance</w:t>
            </w:r>
          </w:p>
        </w:tc>
        <w:tc>
          <w:tcPr>
            <w:tcW w:w="100" w:type="dxa"/>
            <w:vAlign w:val="bottom"/>
          </w:tcPr>
          <w:p>
            <w:pPr>
              <w:spacing w:after="0"/>
              <w:rPr>
                <w:sz w:val="15"/>
                <w:szCs w:val="15"/>
                <w:color w:val="auto"/>
              </w:rPr>
            </w:pPr>
          </w:p>
        </w:tc>
        <w:tc>
          <w:tcPr>
            <w:tcW w:w="1120" w:type="dxa"/>
            <w:vAlign w:val="bottom"/>
            <w:gridSpan w:val="2"/>
          </w:tcPr>
          <w:p>
            <w:pPr>
              <w:jc w:val="center"/>
              <w:ind w:right="400"/>
              <w:spacing w:after="0"/>
              <w:rPr>
                <w:sz w:val="20"/>
                <w:szCs w:val="20"/>
                <w:color w:val="auto"/>
              </w:rPr>
            </w:pPr>
            <w:r>
              <w:rPr>
                <w:rFonts w:ascii="Arial" w:cs="Arial" w:eastAsia="Arial" w:hAnsi="Arial"/>
                <w:sz w:val="16"/>
                <w:szCs w:val="16"/>
                <w:color w:val="auto"/>
              </w:rPr>
              <w:t>Expenses</w:t>
            </w:r>
          </w:p>
        </w:tc>
        <w:tc>
          <w:tcPr>
            <w:tcW w:w="1220" w:type="dxa"/>
            <w:vAlign w:val="bottom"/>
            <w:gridSpan w:val="3"/>
          </w:tcPr>
          <w:p>
            <w:pPr>
              <w:ind w:left="20"/>
              <w:spacing w:after="0"/>
              <w:rPr>
                <w:sz w:val="20"/>
                <w:szCs w:val="20"/>
                <w:color w:val="auto"/>
              </w:rPr>
            </w:pPr>
            <w:r>
              <w:rPr>
                <w:rFonts w:ascii="Arial" w:cs="Arial" w:eastAsia="Arial" w:hAnsi="Arial"/>
                <w:sz w:val="16"/>
                <w:szCs w:val="16"/>
                <w:color w:val="auto"/>
              </w:rPr>
              <w:t>Adjustments</w:t>
            </w:r>
          </w:p>
        </w:tc>
        <w:tc>
          <w:tcPr>
            <w:tcW w:w="920" w:type="dxa"/>
            <w:vAlign w:val="bottom"/>
            <w:gridSpan w:val="2"/>
          </w:tcPr>
          <w:p>
            <w:pPr>
              <w:jc w:val="center"/>
              <w:ind w:right="60"/>
              <w:spacing w:after="0"/>
              <w:rPr>
                <w:sz w:val="20"/>
                <w:szCs w:val="20"/>
                <w:color w:val="auto"/>
              </w:rPr>
            </w:pPr>
            <w:r>
              <w:rPr>
                <w:rFonts w:ascii="Arial" w:cs="Arial" w:eastAsia="Arial" w:hAnsi="Arial"/>
                <w:sz w:val="16"/>
                <w:szCs w:val="16"/>
                <w:color w:val="auto"/>
              </w:rPr>
              <w:t>Balance</w:t>
            </w:r>
          </w:p>
        </w:tc>
      </w:tr>
      <w:tr>
        <w:trPr>
          <w:trHeight w:val="174"/>
        </w:trPr>
        <w:tc>
          <w:tcPr>
            <w:tcW w:w="38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Year Ended December 31, 2009:</w:t>
            </w:r>
          </w:p>
        </w:tc>
        <w:tc>
          <w:tcPr>
            <w:tcW w:w="84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5"/>
        </w:trPr>
        <w:tc>
          <w:tcPr>
            <w:tcW w:w="3880" w:type="dxa"/>
            <w:vAlign w:val="bottom"/>
          </w:tcPr>
          <w:p>
            <w:pPr>
              <w:ind w:left="20"/>
              <w:spacing w:after="0"/>
              <w:rPr>
                <w:sz w:val="20"/>
                <w:szCs w:val="20"/>
                <w:color w:val="auto"/>
              </w:rPr>
            </w:pPr>
            <w:r>
              <w:rPr>
                <w:rFonts w:ascii="Arial" w:cs="Arial" w:eastAsia="Arial" w:hAnsi="Arial"/>
                <w:sz w:val="16"/>
                <w:szCs w:val="16"/>
                <w:color w:val="auto"/>
              </w:rPr>
              <w:t>Allowance for Doubtful Accounts</w:t>
            </w: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color w:val="auto"/>
                <w:w w:val="99"/>
              </w:rPr>
              <w:t>$ 5,700,000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(109,757)</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(1,090,243)</w:t>
            </w:r>
          </w:p>
        </w:tc>
        <w:tc>
          <w:tcPr>
            <w:tcW w:w="920" w:type="dxa"/>
            <w:vAlign w:val="bottom"/>
            <w:gridSpan w:val="2"/>
          </w:tcPr>
          <w:p>
            <w:pPr>
              <w:jc w:val="center"/>
              <w:ind w:right="60"/>
              <w:spacing w:after="0"/>
              <w:rPr>
                <w:sz w:val="20"/>
                <w:szCs w:val="20"/>
                <w:color w:val="auto"/>
              </w:rPr>
            </w:pPr>
            <w:r>
              <w:rPr>
                <w:rFonts w:ascii="Arial" w:cs="Arial" w:eastAsia="Arial" w:hAnsi="Arial"/>
                <w:sz w:val="16"/>
                <w:szCs w:val="16"/>
                <w:color w:val="auto"/>
              </w:rPr>
              <w:t>$ 4,500,000</w:t>
            </w:r>
          </w:p>
        </w:tc>
      </w:tr>
      <w:tr>
        <w:trPr>
          <w:trHeight w:val="170"/>
        </w:trPr>
        <w:tc>
          <w:tcPr>
            <w:tcW w:w="3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2"/>
        </w:trPr>
        <w:tc>
          <w:tcPr>
            <w:tcW w:w="38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Year Ended December 31, 2008:</w:t>
            </w:r>
          </w:p>
        </w:tc>
        <w:tc>
          <w:tcPr>
            <w:tcW w:w="8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5"/>
        </w:trPr>
        <w:tc>
          <w:tcPr>
            <w:tcW w:w="3880" w:type="dxa"/>
            <w:vAlign w:val="bottom"/>
          </w:tcPr>
          <w:p>
            <w:pPr>
              <w:ind w:left="20"/>
              <w:spacing w:after="0"/>
              <w:rPr>
                <w:sz w:val="20"/>
                <w:szCs w:val="20"/>
                <w:color w:val="auto"/>
              </w:rPr>
            </w:pPr>
            <w:r>
              <w:rPr>
                <w:rFonts w:ascii="Arial" w:cs="Arial" w:eastAsia="Arial" w:hAnsi="Arial"/>
                <w:sz w:val="16"/>
                <w:szCs w:val="16"/>
                <w:color w:val="auto"/>
              </w:rPr>
              <w:t>Allowance for Doubtful Accounts</w:t>
            </w: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color w:val="auto"/>
                <w:w w:val="99"/>
              </w:rPr>
              <w:t>$ 1,650,000</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4,058,722</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(8,722)</w:t>
            </w:r>
          </w:p>
        </w:tc>
        <w:tc>
          <w:tcPr>
            <w:tcW w:w="920" w:type="dxa"/>
            <w:vAlign w:val="bottom"/>
            <w:gridSpan w:val="2"/>
          </w:tcPr>
          <w:p>
            <w:pPr>
              <w:jc w:val="center"/>
              <w:ind w:right="60"/>
              <w:spacing w:after="0"/>
              <w:rPr>
                <w:sz w:val="20"/>
                <w:szCs w:val="20"/>
                <w:color w:val="auto"/>
              </w:rPr>
            </w:pPr>
            <w:r>
              <w:rPr>
                <w:rFonts w:ascii="Arial" w:cs="Arial" w:eastAsia="Arial" w:hAnsi="Arial"/>
                <w:sz w:val="16"/>
                <w:szCs w:val="16"/>
                <w:color w:val="auto"/>
              </w:rPr>
              <w:t>$ 5,700,000</w:t>
            </w:r>
          </w:p>
        </w:tc>
      </w:tr>
    </w:tbl>
    <w:p>
      <w:pPr>
        <w:spacing w:after="0" w:line="96" w:lineRule="exact"/>
        <w:rPr>
          <w:sz w:val="20"/>
          <w:szCs w:val="20"/>
          <w:color w:val="auto"/>
        </w:rPr>
      </w:pPr>
    </w:p>
    <w:p>
      <w:pPr>
        <w:ind w:left="600" w:hanging="311"/>
        <w:spacing w:after="0"/>
        <w:tabs>
          <w:tab w:leader="none" w:pos="6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Represents excess of accounts written off over recoveries and other adjustments.</w:t>
      </w:r>
    </w:p>
    <w:p>
      <w:pPr>
        <w:spacing w:after="0" w:line="156" w:lineRule="exact"/>
        <w:rPr>
          <w:rFonts w:ascii="Arial" w:cs="Arial" w:eastAsia="Arial" w:hAnsi="Arial"/>
          <w:sz w:val="16"/>
          <w:szCs w:val="16"/>
          <w:color w:val="auto"/>
        </w:rPr>
      </w:pPr>
    </w:p>
    <w:p>
      <w:pPr>
        <w:ind w:left="600" w:right="1639"/>
        <w:spacing w:after="0" w:line="242" w:lineRule="auto"/>
        <w:rPr>
          <w:rFonts w:ascii="Arial" w:cs="Arial" w:eastAsia="Arial" w:hAnsi="Arial"/>
          <w:sz w:val="16"/>
          <w:szCs w:val="16"/>
          <w:color w:val="auto"/>
        </w:rPr>
      </w:pPr>
      <w:r>
        <w:rPr>
          <w:rFonts w:ascii="Arial" w:cs="Arial" w:eastAsia="Arial" w:hAnsi="Arial"/>
          <w:sz w:val="16"/>
          <w:szCs w:val="16"/>
          <w:color w:val="auto"/>
        </w:rPr>
        <w:t>The Company has been paid for all pre-petition bankruptcy receivables relating to Chrysler who filed for bankruptcy protection under Chapter 11 of the United States Bankruptcy Code on April 30, 2009. The Company also received payment for all pre-petition bankruptcy receivables relating to General Motors who filed for bankruptcy protection under Chapter 11 of the United States Bankruptcy Code on June 1, 2009.</w:t>
      </w:r>
    </w:p>
    <w:p>
      <w:pPr>
        <w:spacing w:after="0" w:line="157" w:lineRule="exact"/>
        <w:rPr>
          <w:rFonts w:ascii="Arial" w:cs="Arial" w:eastAsia="Arial" w:hAnsi="Arial"/>
          <w:sz w:val="16"/>
          <w:szCs w:val="16"/>
          <w:color w:val="auto"/>
        </w:rPr>
      </w:pPr>
    </w:p>
    <w:p>
      <w:pPr>
        <w:ind w:left="600" w:right="1579"/>
        <w:spacing w:after="0"/>
        <w:rPr>
          <w:rFonts w:ascii="Arial" w:cs="Arial" w:eastAsia="Arial" w:hAnsi="Arial"/>
          <w:sz w:val="16"/>
          <w:szCs w:val="16"/>
          <w:color w:val="auto"/>
        </w:rPr>
      </w:pPr>
      <w:r>
        <w:rPr>
          <w:rFonts w:ascii="Arial" w:cs="Arial" w:eastAsia="Arial" w:hAnsi="Arial"/>
          <w:sz w:val="16"/>
          <w:szCs w:val="16"/>
          <w:color w:val="auto"/>
        </w:rPr>
        <w:t>The Company increased its allowance for doubtful accounts in 2008 related to financially distressed Tier 1 mirror customers. While we have made progress in collecting a portion of the significantly past due account balances from certain Tier 1 mirror customers, we did incur a bad debt write off of $1,090,974 in 2009. The remaining overall allowance for doubtful accounts related to all financially distressed Tier 1 automotive customers remains unchanged. The Company continues to work with financially distressed Tier 1 mirror customers in collecting past due balances.</w:t>
      </w:r>
    </w:p>
    <w:p>
      <w:pPr>
        <w:spacing w:after="0" w:line="200" w:lineRule="exact"/>
        <w:rPr>
          <w:rFonts w:ascii="Arial" w:cs="Arial" w:eastAsia="Arial" w:hAnsi="Arial"/>
          <w:sz w:val="16"/>
          <w:szCs w:val="16"/>
          <w:color w:val="auto"/>
        </w:rPr>
      </w:pPr>
    </w:p>
    <w:p>
      <w:pPr>
        <w:spacing w:after="0" w:line="287" w:lineRule="exact"/>
        <w:rPr>
          <w:rFonts w:ascii="Arial" w:cs="Arial" w:eastAsia="Arial" w:hAnsi="Arial"/>
          <w:sz w:val="16"/>
          <w:szCs w:val="16"/>
          <w:color w:val="auto"/>
        </w:rPr>
      </w:pPr>
    </w:p>
    <w:p>
      <w:pPr>
        <w:ind w:left="4400" w:hanging="101"/>
        <w:spacing w:after="0"/>
        <w:tabs>
          <w:tab w:leader="none" w:pos="4400" w:val="left"/>
        </w:tabs>
        <w:numPr>
          <w:ilvl w:val="1"/>
          <w:numId w:val="15"/>
        </w:numPr>
        <w:rPr>
          <w:rFonts w:ascii="Arial" w:cs="Arial" w:eastAsia="Arial" w:hAnsi="Arial"/>
          <w:sz w:val="16"/>
          <w:szCs w:val="16"/>
          <w:color w:val="auto"/>
        </w:rPr>
      </w:pPr>
      <w:r>
        <w:rPr>
          <w:rFonts w:ascii="Arial" w:cs="Arial" w:eastAsia="Arial" w:hAnsi="Arial"/>
          <w:sz w:val="16"/>
          <w:szCs w:val="16"/>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39" w:name="page40"/>
    <w:bookmarkEnd w:id="3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2460"/>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17" w:lineRule="exact"/>
        <w:rPr>
          <w:sz w:val="20"/>
          <w:szCs w:val="20"/>
          <w:color w:val="auto"/>
        </w:rPr>
      </w:pPr>
    </w:p>
    <w:p>
      <w:pPr>
        <w:jc w:val="center"/>
        <w:ind w:right="2460"/>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jc w:val="center"/>
        <w:ind w:right="2460"/>
        <w:spacing w:after="0"/>
        <w:rPr>
          <w:sz w:val="20"/>
          <w:szCs w:val="20"/>
          <w:color w:val="auto"/>
        </w:rPr>
      </w:pPr>
      <w:r>
        <w:rPr>
          <w:rFonts w:ascii="Arial" w:cs="Arial" w:eastAsia="Arial" w:hAnsi="Arial"/>
          <w:sz w:val="16"/>
          <w:szCs w:val="16"/>
          <w:b w:val="1"/>
          <w:bCs w:val="1"/>
          <w:color w:val="auto"/>
        </w:rPr>
        <w:t>(Continued)</w:t>
      </w:r>
    </w:p>
    <w:p>
      <w:pPr>
        <w:spacing w:after="0" w:line="168" w:lineRule="exact"/>
        <w:rPr>
          <w:sz w:val="20"/>
          <w:szCs w:val="20"/>
          <w:color w:val="auto"/>
        </w:rPr>
      </w:pPr>
    </w:p>
    <w:p>
      <w:pPr>
        <w:ind w:left="600" w:right="4560" w:hanging="311"/>
        <w:spacing w:after="0" w:line="443" w:lineRule="auto"/>
        <w:tabs>
          <w:tab w:leader="none" w:pos="6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SUMMARY OF SIGNIFICANT ACCOUNTING AND REPORTING POLICIES, continued </w:t>
      </w:r>
      <w:r>
        <w:rPr>
          <w:rFonts w:ascii="Arial" w:cs="Arial" w:eastAsia="Arial" w:hAnsi="Arial"/>
          <w:sz w:val="16"/>
          <w:szCs w:val="16"/>
          <w:u w:val="single" w:color="auto"/>
          <w:color w:val="auto"/>
        </w:rPr>
        <w:t>Investments</w:t>
      </w:r>
    </w:p>
    <w:p>
      <w:pPr>
        <w:spacing w:after="0" w:line="1" w:lineRule="exact"/>
        <w:rPr>
          <w:rFonts w:ascii="Arial" w:cs="Arial" w:eastAsia="Arial" w:hAnsi="Arial"/>
          <w:sz w:val="16"/>
          <w:szCs w:val="16"/>
          <w:color w:val="auto"/>
        </w:rPr>
      </w:pPr>
    </w:p>
    <w:p>
      <w:pPr>
        <w:ind w:left="600" w:right="2860"/>
        <w:spacing w:after="0"/>
        <w:rPr>
          <w:rFonts w:ascii="Arial" w:cs="Arial" w:eastAsia="Arial" w:hAnsi="Arial"/>
          <w:sz w:val="16"/>
          <w:szCs w:val="16"/>
          <w:color w:val="auto"/>
        </w:rPr>
      </w:pPr>
      <w:r>
        <w:rPr>
          <w:rFonts w:ascii="Arial" w:cs="Arial" w:eastAsia="Arial" w:hAnsi="Arial"/>
          <w:sz w:val="16"/>
          <w:szCs w:val="16"/>
          <w:color w:val="auto"/>
        </w:rPr>
        <w:t>The Financial Accounting Standards Board (FASB) has issued authoritative guidance at ASC 820 “Fair Value Measurements.” This statement establishes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expands financial statement disclosure requirements about a company’s use of fair value measurements, including the effect of such measure on earnings.</w:t>
      </w:r>
    </w:p>
    <w:p>
      <w:pPr>
        <w:spacing w:after="0" w:line="159" w:lineRule="exact"/>
        <w:rPr>
          <w:rFonts w:ascii="Arial" w:cs="Arial" w:eastAsia="Arial" w:hAnsi="Arial"/>
          <w:sz w:val="16"/>
          <w:szCs w:val="16"/>
          <w:color w:val="auto"/>
        </w:rPr>
      </w:pPr>
    </w:p>
    <w:p>
      <w:pPr>
        <w:ind w:left="600" w:right="2760"/>
        <w:spacing w:after="0"/>
        <w:rPr>
          <w:rFonts w:ascii="Arial" w:cs="Arial" w:eastAsia="Arial" w:hAnsi="Arial"/>
          <w:sz w:val="16"/>
          <w:szCs w:val="16"/>
          <w:color w:val="auto"/>
        </w:rPr>
      </w:pPr>
      <w:r>
        <w:rPr>
          <w:rFonts w:ascii="Arial" w:cs="Arial" w:eastAsia="Arial" w:hAnsi="Arial"/>
          <w:sz w:val="16"/>
          <w:szCs w:val="16"/>
          <w:color w:val="auto"/>
        </w:rPr>
        <w:t>The Company adopted the provisions of ASC 820 related to its financial assets and liabilities in 2008, and to its non-financial assets and liabilities in 2009, neither of which had a material impact on the Company’s consolidated financial position, results of operations or cash flows. The Company’s investment securities are classified as available for sale and are stated at fair value based on quoted market prices. Adjustments to the fair value of investments are recorded as increases or decreases, net of income taxes, within accumulated other comprehensive income (loss) in shareholders’ investment (excluding other-than-temporary impairments). Assets or liabilities that have recurring measurements are shown below as of December 31, 2009:</w:t>
      </w:r>
    </w:p>
    <w:p>
      <w:pPr>
        <w:spacing w:after="0" w:line="169"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760" w:type="dxa"/>
            <w:vAlign w:val="bottom"/>
            <w:gridSpan w:val="8"/>
          </w:tcPr>
          <w:p>
            <w:pPr>
              <w:jc w:val="center"/>
              <w:ind w:right="60"/>
              <w:spacing w:after="0"/>
              <w:rPr>
                <w:sz w:val="20"/>
                <w:szCs w:val="20"/>
                <w:color w:val="auto"/>
              </w:rPr>
            </w:pPr>
            <w:r>
              <w:rPr>
                <w:rFonts w:ascii="Arial" w:cs="Arial" w:eastAsia="Arial" w:hAnsi="Arial"/>
                <w:sz w:val="16"/>
                <w:szCs w:val="16"/>
                <w:color w:val="auto"/>
              </w:rPr>
              <w:t>Fair Value Measurements at Reporting Date Using</w:t>
            </w:r>
          </w:p>
        </w:tc>
      </w:tr>
      <w:tr>
        <w:trPr>
          <w:trHeight w:val="174"/>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Borders>
              <w:top w:val="single" w:sz="8" w:color="auto"/>
            </w:tcBorders>
            <w:gridSpan w:val="2"/>
          </w:tcPr>
          <w:p>
            <w:pPr>
              <w:jc w:val="center"/>
              <w:ind w:right="360"/>
              <w:spacing w:after="0" w:line="174" w:lineRule="exact"/>
              <w:rPr>
                <w:sz w:val="20"/>
                <w:szCs w:val="20"/>
                <w:color w:val="auto"/>
              </w:rPr>
            </w:pPr>
            <w:r>
              <w:rPr>
                <w:rFonts w:ascii="Arial" w:cs="Arial" w:eastAsia="Arial" w:hAnsi="Arial"/>
                <w:sz w:val="16"/>
                <w:szCs w:val="16"/>
                <w:color w:val="auto"/>
              </w:rPr>
              <w:t>Quoted Prices</w:t>
            </w:r>
          </w:p>
        </w:tc>
        <w:tc>
          <w:tcPr>
            <w:tcW w:w="1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center"/>
              <w:ind w:right="360"/>
              <w:spacing w:after="0" w:line="182" w:lineRule="exact"/>
              <w:rPr>
                <w:sz w:val="20"/>
                <w:szCs w:val="20"/>
                <w:color w:val="auto"/>
              </w:rPr>
            </w:pPr>
            <w:r>
              <w:rPr>
                <w:rFonts w:ascii="Arial" w:cs="Arial" w:eastAsia="Arial" w:hAnsi="Arial"/>
                <w:sz w:val="16"/>
                <w:szCs w:val="16"/>
                <w:color w:val="auto"/>
              </w:rPr>
              <w:t>in Active</w:t>
            </w:r>
          </w:p>
        </w:tc>
        <w:tc>
          <w:tcPr>
            <w:tcW w:w="100" w:type="dxa"/>
            <w:vAlign w:val="bottom"/>
          </w:tcPr>
          <w:p>
            <w:pPr>
              <w:spacing w:after="0"/>
              <w:rPr>
                <w:sz w:val="15"/>
                <w:szCs w:val="15"/>
                <w:color w:val="auto"/>
              </w:rPr>
            </w:pPr>
          </w:p>
        </w:tc>
        <w:tc>
          <w:tcPr>
            <w:tcW w:w="1220" w:type="dxa"/>
            <w:vAlign w:val="bottom"/>
            <w:gridSpan w:val="2"/>
          </w:tcPr>
          <w:p>
            <w:pPr>
              <w:jc w:val="center"/>
              <w:ind w:right="460"/>
              <w:spacing w:after="0" w:line="182" w:lineRule="exact"/>
              <w:rPr>
                <w:sz w:val="20"/>
                <w:szCs w:val="20"/>
                <w:color w:val="auto"/>
              </w:rPr>
            </w:pPr>
            <w:r>
              <w:rPr>
                <w:rFonts w:ascii="Arial" w:cs="Arial" w:eastAsia="Arial" w:hAnsi="Arial"/>
                <w:sz w:val="16"/>
                <w:szCs w:val="16"/>
                <w:color w:val="auto"/>
              </w:rPr>
              <w:t>Significant</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center"/>
              <w:ind w:right="360"/>
              <w:spacing w:after="0" w:line="182" w:lineRule="exact"/>
              <w:rPr>
                <w:sz w:val="20"/>
                <w:szCs w:val="20"/>
                <w:color w:val="auto"/>
              </w:rPr>
            </w:pPr>
            <w:r>
              <w:rPr>
                <w:rFonts w:ascii="Arial" w:cs="Arial" w:eastAsia="Arial" w:hAnsi="Arial"/>
                <w:sz w:val="16"/>
                <w:szCs w:val="16"/>
                <w:color w:val="auto"/>
              </w:rPr>
              <w:t>Markets for</w:t>
            </w:r>
          </w:p>
        </w:tc>
        <w:tc>
          <w:tcPr>
            <w:tcW w:w="100" w:type="dxa"/>
            <w:vAlign w:val="bottom"/>
          </w:tcPr>
          <w:p>
            <w:pPr>
              <w:spacing w:after="0"/>
              <w:rPr>
                <w:sz w:val="15"/>
                <w:szCs w:val="15"/>
                <w:color w:val="auto"/>
              </w:rPr>
            </w:pPr>
          </w:p>
        </w:tc>
        <w:tc>
          <w:tcPr>
            <w:tcW w:w="1220" w:type="dxa"/>
            <w:vAlign w:val="bottom"/>
            <w:gridSpan w:val="2"/>
          </w:tcPr>
          <w:p>
            <w:pPr>
              <w:jc w:val="center"/>
              <w:ind w:right="460"/>
              <w:spacing w:after="0" w:line="182" w:lineRule="exact"/>
              <w:rPr>
                <w:sz w:val="20"/>
                <w:szCs w:val="20"/>
                <w:color w:val="auto"/>
              </w:rPr>
            </w:pPr>
            <w:r>
              <w:rPr>
                <w:rFonts w:ascii="Arial" w:cs="Arial" w:eastAsia="Arial" w:hAnsi="Arial"/>
                <w:sz w:val="16"/>
                <w:szCs w:val="16"/>
                <w:color w:val="auto"/>
                <w:w w:val="99"/>
              </w:rPr>
              <w:t>Other</w:t>
            </w:r>
          </w:p>
        </w:tc>
        <w:tc>
          <w:tcPr>
            <w:tcW w:w="100" w:type="dxa"/>
            <w:vAlign w:val="bottom"/>
          </w:tcPr>
          <w:p>
            <w:pPr>
              <w:spacing w:after="0"/>
              <w:rPr>
                <w:sz w:val="15"/>
                <w:szCs w:val="15"/>
                <w:color w:val="auto"/>
              </w:rPr>
            </w:pPr>
          </w:p>
        </w:tc>
        <w:tc>
          <w:tcPr>
            <w:tcW w:w="960" w:type="dxa"/>
            <w:vAlign w:val="bottom"/>
            <w:gridSpan w:val="2"/>
          </w:tcPr>
          <w:p>
            <w:pPr>
              <w:jc w:val="center"/>
              <w:ind w:right="180"/>
              <w:spacing w:after="0" w:line="182" w:lineRule="exact"/>
              <w:rPr>
                <w:sz w:val="20"/>
                <w:szCs w:val="20"/>
                <w:color w:val="auto"/>
              </w:rPr>
            </w:pPr>
            <w:r>
              <w:rPr>
                <w:rFonts w:ascii="Arial" w:cs="Arial" w:eastAsia="Arial" w:hAnsi="Arial"/>
                <w:sz w:val="16"/>
                <w:szCs w:val="16"/>
                <w:color w:val="auto"/>
              </w:rPr>
              <w:t>Significant</w:t>
            </w:r>
          </w:p>
        </w:tc>
      </w:tr>
      <w:tr>
        <w:trPr>
          <w:trHeight w:val="182"/>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center"/>
              <w:ind w:right="360"/>
              <w:spacing w:after="0" w:line="182" w:lineRule="exact"/>
              <w:rPr>
                <w:sz w:val="20"/>
                <w:szCs w:val="20"/>
                <w:color w:val="auto"/>
              </w:rPr>
            </w:pPr>
            <w:r>
              <w:rPr>
                <w:rFonts w:ascii="Arial" w:cs="Arial" w:eastAsia="Arial" w:hAnsi="Arial"/>
                <w:sz w:val="16"/>
                <w:szCs w:val="16"/>
                <w:color w:val="auto"/>
              </w:rPr>
              <w:t>Identical</w:t>
            </w:r>
          </w:p>
        </w:tc>
        <w:tc>
          <w:tcPr>
            <w:tcW w:w="1320" w:type="dxa"/>
            <w:vAlign w:val="bottom"/>
            <w:gridSpan w:val="3"/>
          </w:tcPr>
          <w:p>
            <w:pPr>
              <w:jc w:val="center"/>
              <w:ind w:right="360"/>
              <w:spacing w:after="0" w:line="182" w:lineRule="exact"/>
              <w:rPr>
                <w:sz w:val="20"/>
                <w:szCs w:val="20"/>
                <w:color w:val="auto"/>
              </w:rPr>
            </w:pPr>
            <w:r>
              <w:rPr>
                <w:rFonts w:ascii="Arial" w:cs="Arial" w:eastAsia="Arial" w:hAnsi="Arial"/>
                <w:sz w:val="16"/>
                <w:szCs w:val="16"/>
                <w:color w:val="auto"/>
              </w:rPr>
              <w:t>Observable</w:t>
            </w:r>
          </w:p>
        </w:tc>
        <w:tc>
          <w:tcPr>
            <w:tcW w:w="1060" w:type="dxa"/>
            <w:vAlign w:val="bottom"/>
            <w:gridSpan w:val="3"/>
          </w:tcPr>
          <w:p>
            <w:pPr>
              <w:jc w:val="right"/>
              <w:ind w:right="60"/>
              <w:spacing w:after="0" w:line="182" w:lineRule="exact"/>
              <w:rPr>
                <w:sz w:val="20"/>
                <w:szCs w:val="20"/>
                <w:color w:val="auto"/>
              </w:rPr>
            </w:pPr>
            <w:r>
              <w:rPr>
                <w:rFonts w:ascii="Arial" w:cs="Arial" w:eastAsia="Arial" w:hAnsi="Arial"/>
                <w:sz w:val="16"/>
                <w:szCs w:val="16"/>
                <w:color w:val="auto"/>
                <w:w w:val="99"/>
              </w:rPr>
              <w:t>Unobservable</w:t>
            </w:r>
          </w:p>
        </w:tc>
      </w:tr>
      <w:tr>
        <w:trPr>
          <w:trHeight w:val="182"/>
        </w:trPr>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60" w:type="dxa"/>
            <w:vAlign w:val="bottom"/>
            <w:gridSpan w:val="2"/>
          </w:tcPr>
          <w:p>
            <w:pPr>
              <w:ind w:left="120"/>
              <w:spacing w:after="0" w:line="182" w:lineRule="exact"/>
              <w:rPr>
                <w:sz w:val="20"/>
                <w:szCs w:val="20"/>
                <w:color w:val="auto"/>
              </w:rPr>
            </w:pPr>
            <w:r>
              <w:rPr>
                <w:rFonts w:ascii="Arial" w:cs="Arial" w:eastAsia="Arial" w:hAnsi="Arial"/>
                <w:sz w:val="16"/>
                <w:szCs w:val="16"/>
                <w:color w:val="auto"/>
              </w:rPr>
              <w:t>Total as of</w:t>
            </w:r>
          </w:p>
        </w:tc>
        <w:tc>
          <w:tcPr>
            <w:tcW w:w="1380" w:type="dxa"/>
            <w:vAlign w:val="bottom"/>
            <w:gridSpan w:val="2"/>
          </w:tcPr>
          <w:p>
            <w:pPr>
              <w:jc w:val="center"/>
              <w:ind w:right="360"/>
              <w:spacing w:after="0" w:line="182" w:lineRule="exact"/>
              <w:rPr>
                <w:sz w:val="20"/>
                <w:szCs w:val="20"/>
                <w:color w:val="auto"/>
              </w:rPr>
            </w:pPr>
            <w:r>
              <w:rPr>
                <w:rFonts w:ascii="Arial" w:cs="Arial" w:eastAsia="Arial" w:hAnsi="Arial"/>
                <w:sz w:val="16"/>
                <w:szCs w:val="16"/>
                <w:color w:val="auto"/>
              </w:rPr>
              <w:t>Assets</w:t>
            </w:r>
          </w:p>
        </w:tc>
        <w:tc>
          <w:tcPr>
            <w:tcW w:w="100" w:type="dxa"/>
            <w:vAlign w:val="bottom"/>
          </w:tcPr>
          <w:p>
            <w:pPr>
              <w:spacing w:after="0"/>
              <w:rPr>
                <w:sz w:val="15"/>
                <w:szCs w:val="15"/>
                <w:color w:val="auto"/>
              </w:rPr>
            </w:pPr>
          </w:p>
        </w:tc>
        <w:tc>
          <w:tcPr>
            <w:tcW w:w="1220" w:type="dxa"/>
            <w:vAlign w:val="bottom"/>
            <w:gridSpan w:val="2"/>
          </w:tcPr>
          <w:p>
            <w:pPr>
              <w:jc w:val="center"/>
              <w:ind w:right="460"/>
              <w:spacing w:after="0" w:line="182" w:lineRule="exact"/>
              <w:rPr>
                <w:sz w:val="20"/>
                <w:szCs w:val="20"/>
                <w:color w:val="auto"/>
              </w:rPr>
            </w:pPr>
            <w:r>
              <w:rPr>
                <w:rFonts w:ascii="Arial" w:cs="Arial" w:eastAsia="Arial" w:hAnsi="Arial"/>
                <w:sz w:val="16"/>
                <w:szCs w:val="16"/>
                <w:color w:val="auto"/>
              </w:rPr>
              <w:t>Inputs</w:t>
            </w:r>
          </w:p>
        </w:tc>
        <w:tc>
          <w:tcPr>
            <w:tcW w:w="100" w:type="dxa"/>
            <w:vAlign w:val="bottom"/>
          </w:tcPr>
          <w:p>
            <w:pPr>
              <w:spacing w:after="0"/>
              <w:rPr>
                <w:sz w:val="15"/>
                <w:szCs w:val="15"/>
                <w:color w:val="auto"/>
              </w:rPr>
            </w:pPr>
          </w:p>
        </w:tc>
        <w:tc>
          <w:tcPr>
            <w:tcW w:w="960" w:type="dxa"/>
            <w:vAlign w:val="bottom"/>
            <w:gridSpan w:val="2"/>
          </w:tcPr>
          <w:p>
            <w:pPr>
              <w:jc w:val="center"/>
              <w:ind w:right="160"/>
              <w:spacing w:after="0" w:line="182" w:lineRule="exact"/>
              <w:rPr>
                <w:sz w:val="20"/>
                <w:szCs w:val="20"/>
                <w:color w:val="auto"/>
              </w:rPr>
            </w:pPr>
            <w:r>
              <w:rPr>
                <w:rFonts w:ascii="Arial" w:cs="Arial" w:eastAsia="Arial" w:hAnsi="Arial"/>
                <w:sz w:val="16"/>
                <w:szCs w:val="16"/>
                <w:color w:val="auto"/>
              </w:rPr>
              <w:t>Inputs</w:t>
            </w:r>
          </w:p>
        </w:tc>
      </w:tr>
      <w:tr>
        <w:trPr>
          <w:trHeight w:val="183"/>
        </w:trPr>
        <w:tc>
          <w:tcPr>
            <w:tcW w:w="2780" w:type="dxa"/>
            <w:vAlign w:val="bottom"/>
          </w:tcPr>
          <w:p>
            <w:pPr>
              <w:ind w:left="20"/>
              <w:spacing w:after="0"/>
              <w:rPr>
                <w:sz w:val="20"/>
                <w:szCs w:val="20"/>
                <w:color w:val="auto"/>
              </w:rPr>
            </w:pPr>
            <w:r>
              <w:rPr>
                <w:rFonts w:ascii="Arial" w:cs="Arial" w:eastAsia="Arial" w:hAnsi="Arial"/>
                <w:sz w:val="16"/>
                <w:szCs w:val="16"/>
                <w:color w:val="auto"/>
              </w:rPr>
              <w:t>Description</w:t>
            </w:r>
          </w:p>
        </w:tc>
        <w:tc>
          <w:tcPr>
            <w:tcW w:w="180" w:type="dxa"/>
            <w:vAlign w:val="bottom"/>
          </w:tcPr>
          <w:p>
            <w:pPr>
              <w:spacing w:after="0"/>
              <w:rPr>
                <w:sz w:val="15"/>
                <w:szCs w:val="15"/>
                <w:color w:val="auto"/>
              </w:rPr>
            </w:pPr>
          </w:p>
        </w:tc>
        <w:tc>
          <w:tcPr>
            <w:tcW w:w="1680" w:type="dxa"/>
            <w:vAlign w:val="bottom"/>
            <w:gridSpan w:val="3"/>
          </w:tcPr>
          <w:p>
            <w:pPr>
              <w:spacing w:after="0"/>
              <w:rPr>
                <w:sz w:val="20"/>
                <w:szCs w:val="20"/>
                <w:color w:val="auto"/>
              </w:rPr>
            </w:pPr>
            <w:r>
              <w:rPr>
                <w:rFonts w:ascii="Arial" w:cs="Arial" w:eastAsia="Arial" w:hAnsi="Arial"/>
                <w:sz w:val="16"/>
                <w:szCs w:val="16"/>
                <w:color w:val="auto"/>
              </w:rPr>
              <w:t>December 31, 2009</w:t>
            </w: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color w:val="auto"/>
              </w:rPr>
              <w:t>(Level I)</w:t>
            </w:r>
          </w:p>
        </w:tc>
        <w:tc>
          <w:tcPr>
            <w:tcW w:w="100" w:type="dxa"/>
            <w:vAlign w:val="bottom"/>
          </w:tcPr>
          <w:p>
            <w:pPr>
              <w:spacing w:after="0"/>
              <w:rPr>
                <w:sz w:val="15"/>
                <w:szCs w:val="15"/>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6"/>
                <w:szCs w:val="16"/>
                <w:color w:val="auto"/>
              </w:rPr>
              <w:t>(Level 2)</w:t>
            </w:r>
          </w:p>
        </w:tc>
        <w:tc>
          <w:tcPr>
            <w:tcW w:w="100" w:type="dxa"/>
            <w:vAlign w:val="bottom"/>
          </w:tcPr>
          <w:p>
            <w:pPr>
              <w:spacing w:after="0"/>
              <w:rPr>
                <w:sz w:val="15"/>
                <w:szCs w:val="15"/>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6"/>
                <w:szCs w:val="16"/>
                <w:color w:val="auto"/>
              </w:rPr>
              <w:t>(Level 3)</w:t>
            </w:r>
          </w:p>
        </w:tc>
      </w:tr>
      <w:tr>
        <w:trPr>
          <w:trHeight w:val="174"/>
        </w:trPr>
        <w:tc>
          <w:tcPr>
            <w:tcW w:w="278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6"/>
                <w:szCs w:val="16"/>
                <w:color w:val="auto"/>
              </w:rPr>
              <w:t>Cash &amp; Cash Equivalents</w:t>
            </w:r>
          </w:p>
        </w:tc>
        <w:tc>
          <w:tcPr>
            <w:tcW w:w="180" w:type="dxa"/>
            <w:vAlign w:val="bottom"/>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336,108,446</w:t>
            </w:r>
          </w:p>
        </w:tc>
        <w:tc>
          <w:tcPr>
            <w:tcW w:w="260" w:type="dxa"/>
            <w:vAlign w:val="bottom"/>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w w:val="97"/>
              </w:rPr>
              <w:t>$ 336,108,446</w:t>
            </w:r>
          </w:p>
        </w:tc>
        <w:tc>
          <w:tcPr>
            <w:tcW w:w="3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r>
      <w:tr>
        <w:trPr>
          <w:trHeight w:val="195"/>
        </w:trPr>
        <w:tc>
          <w:tcPr>
            <w:tcW w:w="2780" w:type="dxa"/>
            <w:vAlign w:val="bottom"/>
          </w:tcPr>
          <w:p>
            <w:pPr>
              <w:ind w:left="20"/>
              <w:spacing w:after="0"/>
              <w:rPr>
                <w:sz w:val="20"/>
                <w:szCs w:val="20"/>
                <w:color w:val="auto"/>
              </w:rPr>
            </w:pPr>
            <w:r>
              <w:rPr>
                <w:rFonts w:ascii="Arial" w:cs="Arial" w:eastAsia="Arial" w:hAnsi="Arial"/>
                <w:sz w:val="16"/>
                <w:szCs w:val="16"/>
                <w:color w:val="auto"/>
              </w:rPr>
              <w:t>Short-Term Investments</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17,123,647</w:t>
            </w:r>
          </w:p>
        </w:tc>
        <w:tc>
          <w:tcPr>
            <w:tcW w:w="260" w:type="dxa"/>
            <w:vAlign w:val="bottom"/>
          </w:tcPr>
          <w:p>
            <w:pPr>
              <w:spacing w:after="0"/>
              <w:rPr>
                <w:sz w:val="16"/>
                <w:szCs w:val="16"/>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color w:val="auto"/>
              </w:rPr>
              <w:t>17,123,647</w:t>
            </w:r>
          </w:p>
        </w:tc>
        <w:tc>
          <w:tcPr>
            <w:tcW w:w="100" w:type="dxa"/>
            <w:vAlign w:val="bottom"/>
          </w:tcPr>
          <w:p>
            <w:pPr>
              <w:spacing w:after="0"/>
              <w:rPr>
                <w:sz w:val="16"/>
                <w:szCs w:val="16"/>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170"/>
        </w:trPr>
        <w:tc>
          <w:tcPr>
            <w:tcW w:w="2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2"/>
        </w:trPr>
        <w:tc>
          <w:tcPr>
            <w:tcW w:w="27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Long-Term Investments</w:t>
            </w:r>
          </w:p>
        </w:tc>
        <w:tc>
          <w:tcPr>
            <w:tcW w:w="1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109,155,248</w:t>
            </w:r>
          </w:p>
        </w:tc>
        <w:tc>
          <w:tcPr>
            <w:tcW w:w="260" w:type="dxa"/>
            <w:vAlign w:val="bottom"/>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100,254,469</w:t>
            </w:r>
          </w:p>
        </w:tc>
        <w:tc>
          <w:tcPr>
            <w:tcW w:w="3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8,900,779</w:t>
            </w:r>
          </w:p>
        </w:tc>
        <w:tc>
          <w:tcPr>
            <w:tcW w:w="36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r>
      <w:tr>
        <w:trPr>
          <w:trHeight w:val="381"/>
        </w:trPr>
        <w:tc>
          <w:tcPr>
            <w:tcW w:w="2780" w:type="dxa"/>
            <w:vAlign w:val="bottom"/>
          </w:tcPr>
          <w:p>
            <w:pPr>
              <w:ind w:left="20"/>
              <w:spacing w:after="0"/>
              <w:rPr>
                <w:sz w:val="20"/>
                <w:szCs w:val="20"/>
                <w:color w:val="auto"/>
              </w:rPr>
            </w:pPr>
            <w:r>
              <w:rPr>
                <w:rFonts w:ascii="Arial" w:cs="Arial" w:eastAsia="Arial" w:hAnsi="Arial"/>
                <w:sz w:val="16"/>
                <w:szCs w:val="16"/>
                <w:color w:val="auto"/>
              </w:rPr>
              <w:t>Total</w:t>
            </w:r>
          </w:p>
        </w:tc>
        <w:tc>
          <w:tcPr>
            <w:tcW w:w="40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462,387,341</w:t>
            </w:r>
          </w:p>
        </w:tc>
        <w:tc>
          <w:tcPr>
            <w:tcW w:w="260" w:type="dxa"/>
            <w:vAlign w:val="bottom"/>
          </w:tcPr>
          <w:p>
            <w:pPr>
              <w:spacing w:after="0"/>
              <w:rPr>
                <w:sz w:val="24"/>
                <w:szCs w:val="24"/>
                <w:color w:val="auto"/>
              </w:rPr>
            </w:pPr>
          </w:p>
        </w:tc>
        <w:tc>
          <w:tcPr>
            <w:tcW w:w="1380" w:type="dxa"/>
            <w:vAlign w:val="bottom"/>
            <w:gridSpan w:val="2"/>
          </w:tcPr>
          <w:p>
            <w:pPr>
              <w:jc w:val="right"/>
              <w:ind w:right="360"/>
              <w:spacing w:after="0"/>
              <w:rPr>
                <w:sz w:val="20"/>
                <w:szCs w:val="20"/>
                <w:color w:val="auto"/>
              </w:rPr>
            </w:pPr>
            <w:r>
              <w:rPr>
                <w:rFonts w:ascii="Arial" w:cs="Arial" w:eastAsia="Arial" w:hAnsi="Arial"/>
                <w:sz w:val="16"/>
                <w:szCs w:val="16"/>
                <w:color w:val="auto"/>
                <w:w w:val="97"/>
              </w:rPr>
              <w:t>$ 453,486,562</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360"/>
              <w:spacing w:after="0"/>
              <w:rPr>
                <w:sz w:val="20"/>
                <w:szCs w:val="20"/>
                <w:color w:val="auto"/>
              </w:rPr>
            </w:pPr>
            <w:r>
              <w:rPr>
                <w:rFonts w:ascii="Arial" w:cs="Arial" w:eastAsia="Arial" w:hAnsi="Arial"/>
                <w:sz w:val="16"/>
                <w:szCs w:val="16"/>
                <w:color w:val="auto"/>
              </w:rPr>
              <w:t>8,900,779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r>
        <w:trPr>
          <w:trHeight w:val="20"/>
        </w:trPr>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57" w:lineRule="exact"/>
        <w:rPr>
          <w:sz w:val="20"/>
          <w:szCs w:val="20"/>
          <w:color w:val="auto"/>
        </w:rPr>
      </w:pPr>
    </w:p>
    <w:p>
      <w:pPr>
        <w:ind w:left="600" w:right="2840"/>
        <w:spacing w:after="0" w:line="244" w:lineRule="auto"/>
        <w:rPr>
          <w:sz w:val="20"/>
          <w:szCs w:val="20"/>
          <w:color w:val="auto"/>
        </w:rPr>
      </w:pPr>
      <w:r>
        <w:rPr>
          <w:rFonts w:ascii="Arial" w:cs="Arial" w:eastAsia="Arial" w:hAnsi="Arial"/>
          <w:sz w:val="16"/>
          <w:szCs w:val="16"/>
          <w:color w:val="auto"/>
        </w:rPr>
        <w:t>The Company’s short-term investments primarily consist of Government Securities. Long-term investments primarily consist of marketable equity securities (Level 1), equity mutual funds (Level 1) and Limited Partnership equity investments (Level 2).</w:t>
      </w:r>
    </w:p>
    <w:p>
      <w:pPr>
        <w:spacing w:after="0" w:line="142"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amortized cost, unrealized gains and losses, and market value of investment securities are shown as of</w:t>
      </w:r>
    </w:p>
    <w:p>
      <w:pPr>
        <w:ind w:left="600"/>
        <w:spacing w:after="0"/>
        <w:rPr>
          <w:sz w:val="20"/>
          <w:szCs w:val="20"/>
          <w:color w:val="auto"/>
        </w:rPr>
      </w:pPr>
      <w:r>
        <w:rPr>
          <w:rFonts w:ascii="Arial" w:cs="Arial" w:eastAsia="Arial" w:hAnsi="Arial"/>
          <w:sz w:val="16"/>
          <w:szCs w:val="16"/>
          <w:color w:val="auto"/>
        </w:rPr>
        <w:t>December 31, 2009 and 2008:</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3420" w:type="dxa"/>
            <w:vAlign w:val="bottom"/>
            <w:vMerge w:val="restart"/>
          </w:tcPr>
          <w:p>
            <w:pPr>
              <w:ind w:left="20"/>
              <w:spacing w:after="0"/>
              <w:rPr>
                <w:sz w:val="20"/>
                <w:szCs w:val="20"/>
                <w:color w:val="auto"/>
              </w:rPr>
            </w:pPr>
            <w:r>
              <w:rPr>
                <w:rFonts w:ascii="Arial" w:cs="Arial" w:eastAsia="Arial" w:hAnsi="Arial"/>
                <w:sz w:val="16"/>
                <w:szCs w:val="16"/>
                <w:color w:val="auto"/>
              </w:rPr>
              <w:t>2009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vMerge w:val="restart"/>
          </w:tcPr>
          <w:p>
            <w:pPr>
              <w:jc w:val="right"/>
              <w:ind w:right="259"/>
              <w:spacing w:after="0"/>
              <w:rPr>
                <w:sz w:val="20"/>
                <w:szCs w:val="20"/>
                <w:color w:val="auto"/>
              </w:rPr>
            </w:pPr>
            <w:r>
              <w:rPr>
                <w:rFonts w:ascii="Arial" w:cs="Arial" w:eastAsia="Arial" w:hAnsi="Arial"/>
                <w:sz w:val="16"/>
                <w:szCs w:val="16"/>
                <w:color w:val="auto"/>
              </w:rPr>
              <w:t>Cost</w:t>
            </w:r>
          </w:p>
        </w:tc>
        <w:tc>
          <w:tcPr>
            <w:tcW w:w="300" w:type="dxa"/>
            <w:vAlign w:val="bottom"/>
            <w:vMerge w:val="restart"/>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gridSpan w:val="5"/>
          </w:tcPr>
          <w:p>
            <w:pPr>
              <w:jc w:val="right"/>
              <w:ind w:right="940"/>
              <w:spacing w:after="0"/>
              <w:rPr>
                <w:sz w:val="20"/>
                <w:szCs w:val="20"/>
                <w:color w:val="auto"/>
              </w:rPr>
            </w:pPr>
            <w:r>
              <w:rPr>
                <w:rFonts w:ascii="Arial" w:cs="Arial" w:eastAsia="Arial" w:hAnsi="Arial"/>
                <w:sz w:val="16"/>
                <w:szCs w:val="16"/>
                <w:color w:val="auto"/>
              </w:rPr>
              <w:t>Unrealized</w:t>
            </w:r>
          </w:p>
        </w:tc>
        <w:tc>
          <w:tcPr>
            <w:tcW w:w="1020" w:type="dxa"/>
            <w:vAlign w:val="bottom"/>
            <w:gridSpan w:val="2"/>
            <w:vMerge w:val="restart"/>
          </w:tcPr>
          <w:p>
            <w:pPr>
              <w:jc w:val="right"/>
              <w:spacing w:after="0"/>
              <w:rPr>
                <w:sz w:val="20"/>
                <w:szCs w:val="20"/>
                <w:color w:val="auto"/>
              </w:rPr>
            </w:pPr>
            <w:r>
              <w:rPr>
                <w:rFonts w:ascii="Arial" w:cs="Arial" w:eastAsia="Arial" w:hAnsi="Arial"/>
                <w:sz w:val="16"/>
                <w:szCs w:val="16"/>
                <w:color w:val="auto"/>
              </w:rPr>
              <w:t>Market Value</w:t>
            </w:r>
          </w:p>
        </w:tc>
        <w:tc>
          <w:tcPr>
            <w:tcW w:w="60" w:type="dxa"/>
            <w:vAlign w:val="bottom"/>
            <w:vMerge w:val="restart"/>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342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ind w:left="140"/>
              <w:spacing w:after="0" w:line="175" w:lineRule="exact"/>
              <w:rPr>
                <w:sz w:val="20"/>
                <w:szCs w:val="20"/>
                <w:color w:val="auto"/>
              </w:rPr>
            </w:pPr>
            <w:r>
              <w:rPr>
                <w:rFonts w:ascii="Arial" w:cs="Arial" w:eastAsia="Arial" w:hAnsi="Arial"/>
                <w:sz w:val="16"/>
                <w:szCs w:val="16"/>
                <w:color w:val="auto"/>
              </w:rPr>
              <w:t>Gains</w:t>
            </w:r>
          </w:p>
        </w:tc>
        <w:tc>
          <w:tcPr>
            <w:tcW w:w="300" w:type="dxa"/>
            <w:vAlign w:val="bottom"/>
            <w:tcBorders>
              <w:top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79"/>
              <w:spacing w:after="0" w:line="175" w:lineRule="exact"/>
              <w:rPr>
                <w:sz w:val="20"/>
                <w:szCs w:val="20"/>
                <w:color w:val="auto"/>
              </w:rPr>
            </w:pPr>
            <w:r>
              <w:rPr>
                <w:rFonts w:ascii="Arial" w:cs="Arial" w:eastAsia="Arial" w:hAnsi="Arial"/>
                <w:sz w:val="16"/>
                <w:szCs w:val="16"/>
                <w:color w:val="auto"/>
              </w:rPr>
              <w:t>Losses</w:t>
            </w:r>
          </w:p>
        </w:tc>
        <w:tc>
          <w:tcPr>
            <w:tcW w:w="300" w:type="dxa"/>
            <w:vAlign w:val="bottom"/>
          </w:tcPr>
          <w:p>
            <w:pPr>
              <w:spacing w:after="0"/>
              <w:rPr>
                <w:sz w:val="15"/>
                <w:szCs w:val="15"/>
                <w:color w:val="auto"/>
              </w:rPr>
            </w:pPr>
          </w:p>
        </w:tc>
        <w:tc>
          <w:tcPr>
            <w:tcW w:w="1020" w:type="dxa"/>
            <w:vAlign w:val="bottom"/>
            <w:tcBorders>
              <w:bottom w:val="single" w:sz="8" w:color="auto"/>
            </w:tcBorders>
            <w:gridSpan w:val="2"/>
            <w:vMerge w:val="continue"/>
          </w:tcPr>
          <w:p>
            <w:pPr>
              <w:spacing w:after="0"/>
              <w:rPr>
                <w:sz w:val="15"/>
                <w:szCs w:val="15"/>
                <w:color w:val="auto"/>
              </w:rPr>
            </w:pPr>
          </w:p>
        </w:tc>
        <w:tc>
          <w:tcPr>
            <w:tcW w:w="60" w:type="dxa"/>
            <w:vAlign w:val="bottom"/>
            <w:vMerge w:val="continue"/>
          </w:tcPr>
          <w:p>
            <w:pPr>
              <w:spacing w:after="0"/>
              <w:rPr>
                <w:sz w:val="15"/>
                <w:szCs w:val="15"/>
                <w:color w:val="auto"/>
              </w:rPr>
            </w:pP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342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Government Agency</w:t>
            </w:r>
          </w:p>
        </w:tc>
        <w:tc>
          <w:tcPr>
            <w:tcW w:w="3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300"/>
              <w:spacing w:after="0" w:line="175" w:lineRule="exact"/>
              <w:rPr>
                <w:sz w:val="20"/>
                <w:szCs w:val="20"/>
                <w:color w:val="auto"/>
              </w:rPr>
            </w:pPr>
            <w:r>
              <w:rPr>
                <w:rFonts w:ascii="Arial" w:cs="Arial" w:eastAsia="Arial" w:hAnsi="Arial"/>
                <w:sz w:val="16"/>
                <w:szCs w:val="16"/>
                <w:color w:val="auto"/>
              </w:rPr>
              <w:t>17,058,641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00"/>
              <w:spacing w:after="0" w:line="175" w:lineRule="exact"/>
              <w:rPr>
                <w:sz w:val="20"/>
                <w:szCs w:val="20"/>
                <w:color w:val="auto"/>
              </w:rPr>
            </w:pPr>
            <w:r>
              <w:rPr>
                <w:rFonts w:ascii="Arial" w:cs="Arial" w:eastAsia="Arial" w:hAnsi="Arial"/>
                <w:sz w:val="16"/>
                <w:szCs w:val="16"/>
                <w:color w:val="auto"/>
              </w:rPr>
              <w:t>4,924</w:t>
            </w:r>
          </w:p>
        </w:tc>
        <w:tc>
          <w:tcPr>
            <w:tcW w:w="14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240"/>
              <w:spacing w:after="0" w:line="175" w:lineRule="exact"/>
              <w:rPr>
                <w:sz w:val="20"/>
                <w:szCs w:val="20"/>
                <w:color w:val="auto"/>
              </w:rPr>
            </w:pPr>
            <w:r>
              <w:rPr>
                <w:rFonts w:ascii="Arial" w:cs="Arial" w:eastAsia="Arial" w:hAnsi="Arial"/>
                <w:sz w:val="16"/>
                <w:szCs w:val="16"/>
                <w:color w:val="auto"/>
              </w:rPr>
              <w:t>(16,045)</w:t>
            </w:r>
          </w:p>
        </w:tc>
        <w:tc>
          <w:tcPr>
            <w:tcW w:w="1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17,047,520</w:t>
            </w: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3420" w:type="dxa"/>
            <w:vAlign w:val="bottom"/>
          </w:tcPr>
          <w:p>
            <w:pPr>
              <w:ind w:left="20"/>
              <w:spacing w:after="0" w:line="182" w:lineRule="exact"/>
              <w:rPr>
                <w:sz w:val="20"/>
                <w:szCs w:val="20"/>
                <w:color w:val="auto"/>
              </w:rPr>
            </w:pPr>
            <w:r>
              <w:rPr>
                <w:rFonts w:ascii="Arial" w:cs="Arial" w:eastAsia="Arial" w:hAnsi="Arial"/>
                <w:sz w:val="16"/>
                <w:szCs w:val="16"/>
                <w:color w:val="auto"/>
              </w:rPr>
              <w:t>Certificates of Deposit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10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140" w:type="dxa"/>
            <w:vAlign w:val="bottom"/>
          </w:tcPr>
          <w:p>
            <w:pPr>
              <w:spacing w:after="0"/>
              <w:rPr>
                <w:sz w:val="15"/>
                <w:szCs w:val="15"/>
                <w:color w:val="auto"/>
              </w:rPr>
            </w:pPr>
          </w:p>
        </w:tc>
        <w:tc>
          <w:tcPr>
            <w:tcW w:w="102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w:t>
            </w: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342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Other Fixed Income</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76,127</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76,127</w:t>
            </w: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3420" w:type="dxa"/>
            <w:vAlign w:val="bottom"/>
          </w:tcPr>
          <w:p>
            <w:pPr>
              <w:ind w:left="20"/>
              <w:spacing w:after="0" w:line="182" w:lineRule="exact"/>
              <w:rPr>
                <w:sz w:val="20"/>
                <w:szCs w:val="20"/>
                <w:color w:val="auto"/>
              </w:rPr>
            </w:pPr>
            <w:r>
              <w:rPr>
                <w:rFonts w:ascii="Arial" w:cs="Arial" w:eastAsia="Arial" w:hAnsi="Arial"/>
                <w:sz w:val="16"/>
                <w:szCs w:val="16"/>
                <w:color w:val="auto"/>
              </w:rPr>
              <w:t>Equity</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85,150,915</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w w:val="97"/>
              </w:rPr>
              <w:t>24,185,696</w:t>
            </w:r>
          </w:p>
        </w:tc>
        <w:tc>
          <w:tcPr>
            <w:tcW w:w="140" w:type="dxa"/>
            <w:vAlign w:val="bottom"/>
          </w:tcPr>
          <w:p>
            <w:pPr>
              <w:spacing w:after="0"/>
              <w:rPr>
                <w:sz w:val="15"/>
                <w:szCs w:val="15"/>
                <w:color w:val="auto"/>
              </w:rPr>
            </w:pPr>
          </w:p>
        </w:tc>
        <w:tc>
          <w:tcPr>
            <w:tcW w:w="102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(181,363)</w:t>
            </w:r>
          </w:p>
        </w:tc>
        <w:tc>
          <w:tcPr>
            <w:tcW w:w="100" w:type="dxa"/>
            <w:vAlign w:val="bottom"/>
          </w:tcPr>
          <w:p>
            <w:pPr>
              <w:spacing w:after="0"/>
              <w:rPr>
                <w:sz w:val="15"/>
                <w:szCs w:val="15"/>
                <w:color w:val="auto"/>
              </w:rPr>
            </w:pPr>
          </w:p>
        </w:tc>
        <w:tc>
          <w:tcPr>
            <w:tcW w:w="9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109,155,248</w:t>
            </w: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80" w:type="dxa"/>
            <w:vAlign w:val="bottom"/>
          </w:tcPr>
          <w:p>
            <w:pPr>
              <w:spacing w:after="0"/>
              <w:rPr>
                <w:sz w:val="2"/>
                <w:szCs w:val="2"/>
                <w:color w:val="auto"/>
              </w:rPr>
            </w:pPr>
          </w:p>
        </w:tc>
        <w:tc>
          <w:tcPr>
            <w:tcW w:w="3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280" w:type="dxa"/>
            <w:vAlign w:val="bottom"/>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w w:val="89"/>
              </w:rPr>
              <w:t>$</w:t>
            </w: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102,285,683</w:t>
            </w: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w w:val="97"/>
              </w:rPr>
              <w:t>24,190,620</w:t>
            </w: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(197,408)</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w w:val="89"/>
              </w:rPr>
              <w:t>$</w:t>
            </w: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126,278,895</w:t>
            </w: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2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jc w:val="right"/>
              <w:ind w:right="179"/>
              <w:spacing w:after="0"/>
              <w:rPr>
                <w:sz w:val="20"/>
                <w:szCs w:val="20"/>
                <w:color w:val="auto"/>
              </w:rPr>
            </w:pPr>
            <w:r>
              <w:rPr>
                <w:rFonts w:ascii="Arial" w:cs="Arial" w:eastAsia="Arial" w:hAnsi="Arial"/>
                <w:sz w:val="16"/>
                <w:szCs w:val="16"/>
                <w:color w:val="auto"/>
              </w:rPr>
              <w:t>- 36 -</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80" w:type="dxa"/>
            <w:vAlign w:val="bottom"/>
            <w:tcBorders>
              <w:bottom w:val="single" w:sz="8" w:color="808080"/>
            </w:tcBorders>
          </w:tcPr>
          <w:p>
            <w:pPr>
              <w:spacing w:after="0"/>
              <w:rPr>
                <w:sz w:val="16"/>
                <w:szCs w:val="16"/>
                <w:color w:val="auto"/>
              </w:rPr>
            </w:pPr>
          </w:p>
        </w:tc>
        <w:tc>
          <w:tcPr>
            <w:tcW w:w="3420" w:type="dxa"/>
            <w:vAlign w:val="bottom"/>
            <w:tcBorders>
              <w:bottom w:val="single" w:sz="8" w:color="808080"/>
            </w:tcBorders>
          </w:tcPr>
          <w:p>
            <w:pPr>
              <w:spacing w:after="0"/>
              <w:rPr>
                <w:sz w:val="16"/>
                <w:szCs w:val="16"/>
                <w:color w:val="auto"/>
              </w:rPr>
            </w:pPr>
          </w:p>
        </w:tc>
        <w:tc>
          <w:tcPr>
            <w:tcW w:w="22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92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80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72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920" w:type="dxa"/>
            <w:vAlign w:val="bottom"/>
            <w:tcBorders>
              <w:bottom w:val="single" w:sz="8" w:color="808080"/>
            </w:tcBorders>
          </w:tcPr>
          <w:p>
            <w:pPr>
              <w:spacing w:after="0"/>
              <w:rPr>
                <w:sz w:val="16"/>
                <w:szCs w:val="16"/>
                <w:color w:val="auto"/>
              </w:rPr>
            </w:pPr>
          </w:p>
        </w:tc>
        <w:tc>
          <w:tcPr>
            <w:tcW w:w="60" w:type="dxa"/>
            <w:vAlign w:val="bottom"/>
            <w:tcBorders>
              <w:bottom w:val="single" w:sz="8" w:color="808080"/>
            </w:tcBorders>
          </w:tcPr>
          <w:p>
            <w:pPr>
              <w:spacing w:after="0"/>
              <w:rPr>
                <w:sz w:val="16"/>
                <w:szCs w:val="16"/>
                <w:color w:val="auto"/>
              </w:rPr>
            </w:pPr>
          </w:p>
        </w:tc>
        <w:tc>
          <w:tcPr>
            <w:tcW w:w="276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91" w:right="21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17"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jc w:val="center"/>
        <w:ind w:right="1239"/>
        <w:spacing w:after="0"/>
        <w:rPr>
          <w:sz w:val="20"/>
          <w:szCs w:val="20"/>
          <w:color w:val="auto"/>
        </w:rPr>
      </w:pPr>
      <w:r>
        <w:rPr>
          <w:rFonts w:ascii="Arial" w:cs="Arial" w:eastAsia="Arial" w:hAnsi="Arial"/>
          <w:sz w:val="16"/>
          <w:szCs w:val="16"/>
          <w:b w:val="1"/>
          <w:bCs w:val="1"/>
          <w:color w:val="auto"/>
        </w:rPr>
        <w:t>(Continued)</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(1)  SUMMARY OF SIGNIFICANT ACCOUNTING AND REPORTING POLICIES, continued</w:t>
      </w:r>
    </w:p>
    <w:p>
      <w:pPr>
        <w:spacing w:after="0" w:line="180"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2008</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Cost</w:t>
            </w: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Gains</w:t>
            </w: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rPr>
              <w:t>Losses</w:t>
            </w:r>
          </w:p>
        </w:tc>
        <w:tc>
          <w:tcPr>
            <w:tcW w:w="300" w:type="dxa"/>
            <w:vAlign w:val="bottom"/>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Market Value</w:t>
            </w:r>
          </w:p>
        </w:tc>
        <w:tc>
          <w:tcPr>
            <w:tcW w:w="60" w:type="dxa"/>
            <w:vAlign w:val="bottom"/>
          </w:tcPr>
          <w:p>
            <w:pPr>
              <w:spacing w:after="0"/>
              <w:rPr>
                <w:sz w:val="16"/>
                <w:szCs w:val="16"/>
                <w:color w:val="auto"/>
              </w:rPr>
            </w:pPr>
          </w:p>
        </w:tc>
      </w:tr>
      <w:tr>
        <w:trPr>
          <w:trHeight w:val="174"/>
        </w:trPr>
        <w:tc>
          <w:tcPr>
            <w:tcW w:w="344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Government Agency</w:t>
            </w:r>
          </w:p>
        </w:tc>
        <w:tc>
          <w:tcPr>
            <w:tcW w:w="340" w:type="dxa"/>
            <w:vAlign w:val="bottom"/>
            <w:gridSpan w:val="2"/>
            <w:shd w:val="clear" w:color="auto" w:fill="CCEEFF"/>
          </w:tcPr>
          <w:p>
            <w:pPr>
              <w:jc w:val="right"/>
              <w:ind w:right="20"/>
              <w:spacing w:after="0" w:line="175" w:lineRule="exact"/>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jc w:val="right"/>
              <w:ind w:right="320"/>
              <w:spacing w:after="0" w:line="175" w:lineRule="exact"/>
              <w:rPr>
                <w:sz w:val="20"/>
                <w:szCs w:val="20"/>
                <w:color w:val="auto"/>
              </w:rPr>
            </w:pPr>
            <w:r>
              <w:rPr>
                <w:rFonts w:ascii="Arial" w:cs="Arial" w:eastAsia="Arial" w:hAnsi="Arial"/>
                <w:sz w:val="16"/>
                <w:szCs w:val="16"/>
                <w:color w:val="auto"/>
              </w:rPr>
              <w:t>21,238,329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line="175" w:lineRule="exact"/>
              <w:rPr>
                <w:sz w:val="20"/>
                <w:szCs w:val="20"/>
                <w:color w:val="auto"/>
              </w:rPr>
            </w:pPr>
            <w:r>
              <w:rPr>
                <w:rFonts w:ascii="Arial" w:cs="Arial" w:eastAsia="Arial" w:hAnsi="Arial"/>
                <w:sz w:val="16"/>
                <w:szCs w:val="16"/>
                <w:color w:val="auto"/>
              </w:rPr>
              <w:t>280,618</w:t>
            </w:r>
          </w:p>
        </w:tc>
        <w:tc>
          <w:tcPr>
            <w:tcW w:w="1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300"/>
              <w:spacing w:after="0" w:line="175"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21,518,947</w:t>
            </w:r>
          </w:p>
        </w:tc>
      </w:tr>
      <w:tr>
        <w:trPr>
          <w:trHeight w:val="182"/>
        </w:trPr>
        <w:tc>
          <w:tcPr>
            <w:tcW w:w="3440" w:type="dxa"/>
            <w:vAlign w:val="bottom"/>
          </w:tcPr>
          <w:p>
            <w:pPr>
              <w:ind w:left="20"/>
              <w:spacing w:after="0" w:line="182" w:lineRule="exact"/>
              <w:rPr>
                <w:sz w:val="20"/>
                <w:szCs w:val="20"/>
                <w:color w:val="auto"/>
              </w:rPr>
            </w:pPr>
            <w:r>
              <w:rPr>
                <w:rFonts w:ascii="Arial" w:cs="Arial" w:eastAsia="Arial" w:hAnsi="Arial"/>
                <w:sz w:val="16"/>
                <w:szCs w:val="16"/>
                <w:color w:val="auto"/>
              </w:rPr>
              <w:t>Certificates of Deposit</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7,000,000</w:t>
            </w:r>
          </w:p>
        </w:tc>
        <w:tc>
          <w:tcPr>
            <w:tcW w:w="100" w:type="dxa"/>
            <w:vAlign w:val="bottom"/>
          </w:tcPr>
          <w:p>
            <w:pPr>
              <w:spacing w:after="0"/>
              <w:rPr>
                <w:sz w:val="15"/>
                <w:szCs w:val="15"/>
                <w:color w:val="auto"/>
              </w:rPr>
            </w:pPr>
          </w:p>
        </w:tc>
        <w:tc>
          <w:tcPr>
            <w:tcW w:w="104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08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7,000,000</w:t>
            </w:r>
          </w:p>
        </w:tc>
      </w:tr>
      <w:tr>
        <w:trPr>
          <w:trHeight w:val="182"/>
        </w:trPr>
        <w:tc>
          <w:tcPr>
            <w:tcW w:w="344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Other Fixed Income</w:t>
            </w: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658,326</w:t>
            </w: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658,326</w:t>
            </w:r>
          </w:p>
        </w:tc>
      </w:tr>
      <w:tr>
        <w:trPr>
          <w:trHeight w:val="182"/>
        </w:trPr>
        <w:tc>
          <w:tcPr>
            <w:tcW w:w="3440" w:type="dxa"/>
            <w:vAlign w:val="bottom"/>
          </w:tcPr>
          <w:p>
            <w:pPr>
              <w:ind w:left="20"/>
              <w:spacing w:after="0" w:line="182" w:lineRule="exact"/>
              <w:rPr>
                <w:sz w:val="20"/>
                <w:szCs w:val="20"/>
                <w:color w:val="auto"/>
              </w:rPr>
            </w:pPr>
            <w:r>
              <w:rPr>
                <w:rFonts w:ascii="Arial" w:cs="Arial" w:eastAsia="Arial" w:hAnsi="Arial"/>
                <w:sz w:val="16"/>
                <w:szCs w:val="16"/>
                <w:color w:val="auto"/>
              </w:rPr>
              <w:t>Equity</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81,039,674</w:t>
            </w:r>
          </w:p>
        </w:tc>
        <w:tc>
          <w:tcPr>
            <w:tcW w:w="100" w:type="dxa"/>
            <w:vAlign w:val="bottom"/>
          </w:tcPr>
          <w:p>
            <w:pPr>
              <w:spacing w:after="0"/>
              <w:rPr>
                <w:sz w:val="15"/>
                <w:szCs w:val="15"/>
                <w:color w:val="auto"/>
              </w:rPr>
            </w:pPr>
          </w:p>
        </w:tc>
        <w:tc>
          <w:tcPr>
            <w:tcW w:w="104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4,605,386</w:t>
            </w:r>
          </w:p>
        </w:tc>
        <w:tc>
          <w:tcPr>
            <w:tcW w:w="100" w:type="dxa"/>
            <w:vAlign w:val="bottom"/>
          </w:tcPr>
          <w:p>
            <w:pPr>
              <w:spacing w:after="0"/>
              <w:rPr>
                <w:sz w:val="15"/>
                <w:szCs w:val="15"/>
                <w:color w:val="auto"/>
              </w:rPr>
            </w:pPr>
          </w:p>
        </w:tc>
        <w:tc>
          <w:tcPr>
            <w:tcW w:w="108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(4,296,118)</w:t>
            </w:r>
          </w:p>
        </w:tc>
        <w:tc>
          <w:tcPr>
            <w:tcW w:w="100" w:type="dxa"/>
            <w:vAlign w:val="bottom"/>
          </w:tcPr>
          <w:p>
            <w:pPr>
              <w:spacing w:after="0"/>
              <w:rPr>
                <w:sz w:val="15"/>
                <w:szCs w:val="15"/>
                <w:color w:val="auto"/>
              </w:rPr>
            </w:pPr>
          </w:p>
        </w:tc>
        <w:tc>
          <w:tcPr>
            <w:tcW w:w="9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81,348,942</w:t>
            </w:r>
          </w:p>
        </w:tc>
      </w:tr>
      <w:tr>
        <w:trPr>
          <w:trHeight w:val="24"/>
        </w:trPr>
        <w:tc>
          <w:tcPr>
            <w:tcW w:w="3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34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u w:val="single" w:color="auto"/>
                <w:color w:val="auto"/>
              </w:rPr>
              <w:t>$</w:t>
            </w:r>
          </w:p>
        </w:tc>
        <w:tc>
          <w:tcPr>
            <w:tcW w:w="12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w w:val="98"/>
              </w:rPr>
              <w:t>109,936,329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4,886,004</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w w:val="89"/>
              </w:rPr>
              <w:t>$</w:t>
            </w:r>
          </w:p>
        </w:tc>
        <w:tc>
          <w:tcPr>
            <w:tcW w:w="108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(4,296,118)</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w w:val="89"/>
              </w:rPr>
              <w:t>$</w:t>
            </w: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110,526,215</w:t>
            </w:r>
          </w:p>
        </w:tc>
      </w:tr>
      <w:tr>
        <w:trPr>
          <w:trHeight w:val="20"/>
        </w:trPr>
        <w:tc>
          <w:tcPr>
            <w:tcW w:w="3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9" w:lineRule="exact"/>
        <w:rPr>
          <w:sz w:val="20"/>
          <w:szCs w:val="20"/>
          <w:color w:val="auto"/>
        </w:rPr>
      </w:pPr>
    </w:p>
    <w:p>
      <w:pPr>
        <w:ind w:left="600" w:right="1679"/>
        <w:spacing w:after="0" w:line="251" w:lineRule="auto"/>
        <w:rPr>
          <w:sz w:val="20"/>
          <w:szCs w:val="20"/>
          <w:color w:val="auto"/>
        </w:rPr>
      </w:pPr>
      <w:r>
        <w:rPr>
          <w:rFonts w:ascii="Arial" w:cs="Arial" w:eastAsia="Arial" w:hAnsi="Arial"/>
          <w:sz w:val="16"/>
          <w:szCs w:val="16"/>
          <w:color w:val="auto"/>
        </w:rPr>
        <w:t>Unrealized losses on investments as of December 31, 2009 (excluding other-than-temporary impairments), are as follows:</w:t>
      </w:r>
    </w:p>
    <w:p>
      <w:pPr>
        <w:spacing w:after="0" w:line="161"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2360" w:type="dxa"/>
            <w:vAlign w:val="bottom"/>
            <w:gridSpan w:val="3"/>
          </w:tcPr>
          <w:p>
            <w:pPr>
              <w:spacing w:after="0"/>
              <w:rPr>
                <w:sz w:val="20"/>
                <w:szCs w:val="20"/>
                <w:color w:val="auto"/>
              </w:rPr>
            </w:pPr>
            <w:r>
              <w:rPr>
                <w:rFonts w:ascii="Arial" w:cs="Arial" w:eastAsia="Arial" w:hAnsi="Arial"/>
                <w:sz w:val="16"/>
                <w:szCs w:val="16"/>
                <w:color w:val="auto"/>
              </w:rPr>
              <w:t>Aggregate Unrealized Losses</w:t>
            </w:r>
          </w:p>
        </w:tc>
        <w:tc>
          <w:tcPr>
            <w:tcW w:w="1580" w:type="dxa"/>
            <w:vAlign w:val="bottom"/>
            <w:gridSpan w:val="3"/>
          </w:tcPr>
          <w:p>
            <w:pPr>
              <w:spacing w:after="0"/>
              <w:rPr>
                <w:sz w:val="20"/>
                <w:szCs w:val="20"/>
                <w:color w:val="auto"/>
              </w:rPr>
            </w:pPr>
            <w:r>
              <w:rPr>
                <w:rFonts w:ascii="Arial" w:cs="Arial" w:eastAsia="Arial" w:hAnsi="Arial"/>
                <w:sz w:val="16"/>
                <w:szCs w:val="16"/>
                <w:color w:val="auto"/>
              </w:rPr>
              <w:t>Aggregate Fair Value</w:t>
            </w:r>
          </w:p>
        </w:tc>
      </w:tr>
      <w:tr>
        <w:trPr>
          <w:trHeight w:val="174"/>
        </w:trPr>
        <w:tc>
          <w:tcPr>
            <w:tcW w:w="44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Less than one year</w:t>
            </w:r>
          </w:p>
        </w:tc>
        <w:tc>
          <w:tcPr>
            <w:tcW w:w="80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w:t>
            </w:r>
          </w:p>
        </w:tc>
        <w:tc>
          <w:tcPr>
            <w:tcW w:w="132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197,408</w:t>
            </w:r>
          </w:p>
        </w:tc>
        <w:tc>
          <w:tcPr>
            <w:tcW w:w="240" w:type="dxa"/>
            <w:vAlign w:val="bottom"/>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spacing w:after="0" w:line="175" w:lineRule="exact"/>
              <w:rPr>
                <w:sz w:val="20"/>
                <w:szCs w:val="20"/>
                <w:color w:val="auto"/>
              </w:rPr>
            </w:pPr>
            <w:r>
              <w:rPr>
                <w:rFonts w:ascii="Arial" w:cs="Arial" w:eastAsia="Arial" w:hAnsi="Arial"/>
                <w:sz w:val="16"/>
                <w:szCs w:val="16"/>
                <w:color w:val="auto"/>
              </w:rPr>
              <w:t>21,975,424</w:t>
            </w:r>
          </w:p>
        </w:tc>
        <w:tc>
          <w:tcPr>
            <w:tcW w:w="60" w:type="dxa"/>
            <w:vAlign w:val="bottom"/>
            <w:shd w:val="clear" w:color="auto" w:fill="CCEEFF"/>
          </w:tcPr>
          <w:p>
            <w:pPr>
              <w:spacing w:after="0"/>
              <w:rPr>
                <w:sz w:val="15"/>
                <w:szCs w:val="15"/>
                <w:color w:val="auto"/>
              </w:rPr>
            </w:pPr>
          </w:p>
        </w:tc>
      </w:tr>
      <w:tr>
        <w:trPr>
          <w:trHeight w:val="195"/>
        </w:trPr>
        <w:tc>
          <w:tcPr>
            <w:tcW w:w="4460" w:type="dxa"/>
            <w:vAlign w:val="bottom"/>
          </w:tcPr>
          <w:p>
            <w:pPr>
              <w:ind w:left="20"/>
              <w:spacing w:after="0"/>
              <w:rPr>
                <w:sz w:val="20"/>
                <w:szCs w:val="20"/>
                <w:color w:val="auto"/>
              </w:rPr>
            </w:pPr>
            <w:r>
              <w:rPr>
                <w:rFonts w:ascii="Arial" w:cs="Arial" w:eastAsia="Arial" w:hAnsi="Arial"/>
                <w:sz w:val="16"/>
                <w:szCs w:val="16"/>
                <w:color w:val="auto"/>
              </w:rPr>
              <w:t>Greater than one year</w:t>
            </w:r>
          </w:p>
        </w:tc>
        <w:tc>
          <w:tcPr>
            <w:tcW w:w="800" w:type="dxa"/>
            <w:vAlign w:val="bottom"/>
          </w:tcPr>
          <w:p>
            <w:pPr>
              <w:spacing w:after="0"/>
              <w:rPr>
                <w:sz w:val="16"/>
                <w:szCs w:val="16"/>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r>
    </w:tbl>
    <w:p>
      <w:pPr>
        <w:spacing w:after="0" w:line="145" w:lineRule="exact"/>
        <w:rPr>
          <w:sz w:val="20"/>
          <w:szCs w:val="20"/>
          <w:color w:val="auto"/>
        </w:rPr>
      </w:pPr>
    </w:p>
    <w:p>
      <w:pPr>
        <w:ind w:left="600" w:right="1579"/>
        <w:spacing w:after="0" w:line="238" w:lineRule="auto"/>
        <w:rPr>
          <w:sz w:val="20"/>
          <w:szCs w:val="20"/>
          <w:color w:val="auto"/>
        </w:rPr>
      </w:pPr>
      <w:r>
        <w:rPr>
          <w:rFonts w:ascii="Arial" w:cs="Arial" w:eastAsia="Arial" w:hAnsi="Arial"/>
          <w:sz w:val="16"/>
          <w:szCs w:val="16"/>
          <w:color w:val="auto"/>
        </w:rPr>
        <w:t>ASC 320, “Accounting for Certain Investments in Debt and Equity Securities,” as amended and interpreted, provides guidance on determining when an investment is other-than-temporarily impaired. The Company reviews its fixed income and equity investment portfolio and for any unrealized losses that would be deemed other-than-temporary and require the recognition of an impairment loss in income. If the cost of an investment exceeds its fair value, the Company evaluates, among other factors, general market conditions, the duration and extent to which the fair value is less than cost, and our intent and ability to hold the investments. Management also considers the type of security, related-industry and sector performance, as well as published investments ratings and analyst reports, to evaluate its portfolio. Once a decline in fair value is determined to be other-than-temporary, an impairment charge is recorded and new cost basis in the investment is established. If market, industry, and/or investee conditions deteriorate, the Company may incur future impairments. Management considered equity investment losses of $17,909,901 to be other-than-temporary at December 31, 2008. The Company considered additional equity investment losses of $1,290,590 to be other-than-temporary at March 31, 2009. Accordingly, the losses were recognized in the consolidated statement of income in their respective reporting periods.</w:t>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195"/>
        </w:trPr>
        <w:tc>
          <w:tcPr>
            <w:tcW w:w="320" w:type="dxa"/>
            <w:vAlign w:val="bottom"/>
          </w:tcPr>
          <w:p>
            <w:pPr>
              <w:spacing w:after="0"/>
              <w:rPr>
                <w:sz w:val="16"/>
                <w:szCs w:val="16"/>
                <w:color w:val="auto"/>
              </w:rPr>
            </w:pPr>
          </w:p>
        </w:tc>
        <w:tc>
          <w:tcPr>
            <w:tcW w:w="7100" w:type="dxa"/>
            <w:vAlign w:val="bottom"/>
            <w:gridSpan w:val="2"/>
          </w:tcPr>
          <w:p>
            <w:pPr>
              <w:spacing w:after="0"/>
              <w:rPr>
                <w:sz w:val="20"/>
                <w:szCs w:val="20"/>
                <w:color w:val="auto"/>
              </w:rPr>
            </w:pPr>
            <w:r>
              <w:rPr>
                <w:rFonts w:ascii="Arial" w:cs="Arial" w:eastAsia="Arial" w:hAnsi="Arial"/>
                <w:sz w:val="16"/>
                <w:szCs w:val="16"/>
                <w:color w:val="auto"/>
              </w:rPr>
              <w:t>Fixed income securities as of December 31, 2009, have contractual maturities as follows:</w:t>
            </w: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420" w:type="dxa"/>
            <w:vAlign w:val="bottom"/>
            <w:gridSpan w:val="3"/>
            <w:shd w:val="clear" w:color="auto" w:fill="CCEEFF"/>
          </w:tcPr>
          <w:p>
            <w:pPr>
              <w:ind w:left="20"/>
              <w:spacing w:after="0" w:line="182" w:lineRule="exact"/>
              <w:rPr>
                <w:sz w:val="20"/>
                <w:szCs w:val="20"/>
                <w:color w:val="auto"/>
              </w:rPr>
            </w:pPr>
            <w:r>
              <w:rPr>
                <w:rFonts w:ascii="Arial" w:cs="Arial" w:eastAsia="Arial" w:hAnsi="Arial"/>
                <w:sz w:val="16"/>
                <w:szCs w:val="16"/>
                <w:color w:val="auto"/>
              </w:rPr>
              <w:t>Due within one year</w:t>
            </w: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$17,123,647</w:t>
            </w:r>
          </w:p>
        </w:tc>
        <w:tc>
          <w:tcPr>
            <w:tcW w:w="0" w:type="dxa"/>
            <w:vAlign w:val="bottom"/>
          </w:tcPr>
          <w:p>
            <w:pPr>
              <w:spacing w:after="0"/>
              <w:rPr>
                <w:sz w:val="1"/>
                <w:szCs w:val="1"/>
                <w:color w:val="auto"/>
              </w:rPr>
            </w:pPr>
          </w:p>
        </w:tc>
      </w:tr>
      <w:tr>
        <w:trPr>
          <w:trHeight w:val="182"/>
        </w:trPr>
        <w:tc>
          <w:tcPr>
            <w:tcW w:w="7420" w:type="dxa"/>
            <w:vAlign w:val="bottom"/>
            <w:gridSpan w:val="3"/>
          </w:tcPr>
          <w:p>
            <w:pPr>
              <w:ind w:left="20"/>
              <w:spacing w:after="0" w:line="182" w:lineRule="exact"/>
              <w:rPr>
                <w:sz w:val="20"/>
                <w:szCs w:val="20"/>
                <w:color w:val="auto"/>
              </w:rPr>
            </w:pPr>
            <w:r>
              <w:rPr>
                <w:rFonts w:ascii="Arial" w:cs="Arial" w:eastAsia="Arial" w:hAnsi="Arial"/>
                <w:sz w:val="16"/>
                <w:szCs w:val="16"/>
                <w:color w:val="auto"/>
              </w:rPr>
              <w:t>Due between one and five years</w:t>
            </w:r>
          </w:p>
        </w:tc>
        <w:tc>
          <w:tcPr>
            <w:tcW w:w="9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2"/>
        </w:trPr>
        <w:tc>
          <w:tcPr>
            <w:tcW w:w="7420" w:type="dxa"/>
            <w:vAlign w:val="bottom"/>
            <w:gridSpan w:val="3"/>
            <w:shd w:val="clear" w:color="auto" w:fill="CCEEFF"/>
          </w:tcPr>
          <w:p>
            <w:pPr>
              <w:ind w:left="20"/>
              <w:spacing w:after="0" w:line="182" w:lineRule="exact"/>
              <w:rPr>
                <w:sz w:val="20"/>
                <w:szCs w:val="20"/>
                <w:color w:val="auto"/>
              </w:rPr>
            </w:pPr>
            <w:r>
              <w:rPr>
                <w:rFonts w:ascii="Arial" w:cs="Arial" w:eastAsia="Arial" w:hAnsi="Arial"/>
                <w:sz w:val="16"/>
                <w:szCs w:val="16"/>
                <w:color w:val="auto"/>
              </w:rPr>
              <w:t>Due over five years</w:t>
            </w: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17,123,647</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2500" w:type="dxa"/>
            <w:vAlign w:val="bottom"/>
            <w:vMerge w:val="restart"/>
          </w:tcPr>
          <w:p>
            <w:pPr>
              <w:spacing w:after="0"/>
              <w:rPr>
                <w:sz w:val="20"/>
                <w:szCs w:val="20"/>
                <w:color w:val="auto"/>
              </w:rPr>
            </w:pPr>
            <w:r>
              <w:rPr>
                <w:rFonts w:ascii="Arial" w:cs="Arial" w:eastAsia="Arial" w:hAnsi="Arial"/>
                <w:sz w:val="16"/>
                <w:szCs w:val="16"/>
                <w:color w:val="auto"/>
              </w:rPr>
              <w:t>Fair Value of Financial Instruments</w:t>
            </w:r>
          </w:p>
        </w:tc>
        <w:tc>
          <w:tcPr>
            <w:tcW w:w="4600" w:type="dxa"/>
            <w:vAlign w:val="bottom"/>
            <w:vMerge w:val="restart"/>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320" w:type="dxa"/>
            <w:vAlign w:val="bottom"/>
          </w:tcPr>
          <w:p>
            <w:pPr>
              <w:spacing w:after="0"/>
              <w:rPr>
                <w:sz w:val="24"/>
                <w:szCs w:val="24"/>
                <w:color w:val="auto"/>
              </w:rPr>
            </w:pPr>
          </w:p>
        </w:tc>
        <w:tc>
          <w:tcPr>
            <w:tcW w:w="2500" w:type="dxa"/>
            <w:vAlign w:val="bottom"/>
            <w:tcBorders>
              <w:bottom w:val="single" w:sz="8" w:color="auto"/>
            </w:tcBorders>
            <w:vMerge w:val="continue"/>
          </w:tcPr>
          <w:p>
            <w:pPr>
              <w:spacing w:after="0"/>
              <w:rPr>
                <w:sz w:val="24"/>
                <w:szCs w:val="24"/>
                <w:color w:val="auto"/>
              </w:rPr>
            </w:pPr>
          </w:p>
        </w:tc>
        <w:tc>
          <w:tcPr>
            <w:tcW w:w="460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jc w:val="both"/>
        <w:ind w:left="600" w:right="1759"/>
        <w:spacing w:after="0" w:line="244" w:lineRule="auto"/>
        <w:rPr>
          <w:sz w:val="20"/>
          <w:szCs w:val="20"/>
          <w:color w:val="auto"/>
        </w:rPr>
      </w:pPr>
      <w:r>
        <w:rPr>
          <w:rFonts w:ascii="Arial" w:cs="Arial" w:eastAsia="Arial" w:hAnsi="Arial"/>
          <w:sz w:val="16"/>
          <w:szCs w:val="16"/>
          <w:color w:val="auto"/>
        </w:rPr>
        <w:t>The Company’s financial instruments consist of cash and cash equivalents, investments, accounts receivable and accounts payable. The Company’s estimate of the fair values of these financial instruments approximates their carrying amounts at December 31, 2009 and 2008.</w:t>
      </w:r>
    </w:p>
    <w:p>
      <w:pPr>
        <w:spacing w:after="0" w:line="200" w:lineRule="exact"/>
        <w:rPr>
          <w:sz w:val="20"/>
          <w:szCs w:val="20"/>
          <w:color w:val="auto"/>
        </w:rPr>
      </w:pPr>
    </w:p>
    <w:p>
      <w:pPr>
        <w:spacing w:after="0" w:line="296"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17"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jc w:val="center"/>
        <w:ind w:right="1239"/>
        <w:spacing w:after="0"/>
        <w:rPr>
          <w:sz w:val="20"/>
          <w:szCs w:val="20"/>
          <w:color w:val="auto"/>
        </w:rPr>
      </w:pPr>
      <w:r>
        <w:rPr>
          <w:rFonts w:ascii="Arial" w:cs="Arial" w:eastAsia="Arial" w:hAnsi="Arial"/>
          <w:sz w:val="16"/>
          <w:szCs w:val="16"/>
          <w:b w:val="1"/>
          <w:bCs w:val="1"/>
          <w:color w:val="auto"/>
        </w:rPr>
        <w:t>(Continued)</w:t>
      </w:r>
    </w:p>
    <w:p>
      <w:pPr>
        <w:spacing w:after="0" w:line="168" w:lineRule="exact"/>
        <w:rPr>
          <w:sz w:val="20"/>
          <w:szCs w:val="20"/>
          <w:color w:val="auto"/>
        </w:rPr>
      </w:pPr>
    </w:p>
    <w:p>
      <w:pPr>
        <w:ind w:left="600" w:right="3339" w:hanging="311"/>
        <w:spacing w:after="0" w:line="443" w:lineRule="auto"/>
        <w:tabs>
          <w:tab w:leader="none" w:pos="6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SUMMARY OF SIGNIFICANT ACCOUNTING AND REPORTING POLICIES, continued </w:t>
      </w:r>
      <w:r>
        <w:rPr>
          <w:rFonts w:ascii="Arial" w:cs="Arial" w:eastAsia="Arial" w:hAnsi="Arial"/>
          <w:sz w:val="16"/>
          <w:szCs w:val="16"/>
          <w:u w:val="single" w:color="auto"/>
          <w:color w:val="auto"/>
        </w:rPr>
        <w:t>Inventories</w:t>
      </w:r>
    </w:p>
    <w:p>
      <w:pPr>
        <w:spacing w:after="0" w:line="1" w:lineRule="exact"/>
        <w:rPr>
          <w:rFonts w:ascii="Arial" w:cs="Arial" w:eastAsia="Arial" w:hAnsi="Arial"/>
          <w:sz w:val="16"/>
          <w:szCs w:val="16"/>
          <w:color w:val="auto"/>
        </w:rPr>
      </w:pPr>
    </w:p>
    <w:p>
      <w:pPr>
        <w:ind w:left="600" w:right="1579"/>
        <w:spacing w:after="0" w:line="251" w:lineRule="auto"/>
        <w:rPr>
          <w:rFonts w:ascii="Arial" w:cs="Arial" w:eastAsia="Arial" w:hAnsi="Arial"/>
          <w:sz w:val="16"/>
          <w:szCs w:val="16"/>
          <w:color w:val="auto"/>
        </w:rPr>
      </w:pPr>
      <w:r>
        <w:rPr>
          <w:rFonts w:ascii="Arial" w:cs="Arial" w:eastAsia="Arial" w:hAnsi="Arial"/>
          <w:sz w:val="16"/>
          <w:szCs w:val="16"/>
          <w:color w:val="auto"/>
        </w:rPr>
        <w:t>Inventories include material, direct labor and manufacturing overhead and are valued at the lower of first-in, first-out (FIFO) cost or market. Inventories consisted of the following as of December 31, 2009 and 2008.</w:t>
      </w:r>
    </w:p>
    <w:p>
      <w:pPr>
        <w:spacing w:after="0" w:line="161"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6200" w:type="dxa"/>
            <w:vAlign w:val="bottom"/>
          </w:tcPr>
          <w:p>
            <w:pPr>
              <w:spacing w:after="0"/>
              <w:rPr>
                <w:sz w:val="16"/>
                <w:szCs w:val="16"/>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2009</w:t>
            </w:r>
          </w:p>
        </w:tc>
        <w:tc>
          <w:tcPr>
            <w:tcW w:w="320" w:type="dxa"/>
            <w:vAlign w:val="bottom"/>
          </w:tcPr>
          <w:p>
            <w:pPr>
              <w:spacing w:after="0"/>
              <w:rPr>
                <w:sz w:val="16"/>
                <w:szCs w:val="16"/>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2008</w:t>
            </w:r>
          </w:p>
        </w:tc>
        <w:tc>
          <w:tcPr>
            <w:tcW w:w="60" w:type="dxa"/>
            <w:vAlign w:val="bottom"/>
          </w:tcPr>
          <w:p>
            <w:pPr>
              <w:spacing w:after="0"/>
              <w:rPr>
                <w:sz w:val="16"/>
                <w:szCs w:val="16"/>
                <w:color w:val="auto"/>
              </w:rPr>
            </w:pPr>
          </w:p>
        </w:tc>
      </w:tr>
      <w:tr>
        <w:trPr>
          <w:trHeight w:val="174"/>
        </w:trPr>
        <w:tc>
          <w:tcPr>
            <w:tcW w:w="620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Raw materials</w:t>
            </w:r>
          </w:p>
        </w:tc>
        <w:tc>
          <w:tcPr>
            <w:tcW w:w="90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w w:val="98"/>
              </w:rPr>
              <w:t>$34,041,224</w:t>
            </w:r>
          </w:p>
        </w:tc>
        <w:tc>
          <w:tcPr>
            <w:tcW w:w="32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line="175" w:lineRule="exact"/>
              <w:rPr>
                <w:sz w:val="20"/>
                <w:szCs w:val="20"/>
                <w:color w:val="auto"/>
              </w:rPr>
            </w:pPr>
            <w:r>
              <w:rPr>
                <w:rFonts w:ascii="Arial" w:cs="Arial" w:eastAsia="Arial" w:hAnsi="Arial"/>
                <w:sz w:val="16"/>
                <w:szCs w:val="16"/>
                <w:color w:val="auto"/>
              </w:rPr>
              <w:t>$36,164,930</w:t>
            </w:r>
          </w:p>
        </w:tc>
      </w:tr>
      <w:tr>
        <w:trPr>
          <w:trHeight w:val="182"/>
        </w:trPr>
        <w:tc>
          <w:tcPr>
            <w:tcW w:w="6200" w:type="dxa"/>
            <w:vAlign w:val="bottom"/>
          </w:tcPr>
          <w:p>
            <w:pPr>
              <w:ind w:left="20"/>
              <w:spacing w:after="0" w:line="182" w:lineRule="exact"/>
              <w:rPr>
                <w:sz w:val="20"/>
                <w:szCs w:val="20"/>
                <w:color w:val="auto"/>
              </w:rPr>
            </w:pPr>
            <w:r>
              <w:rPr>
                <w:rFonts w:ascii="Arial" w:cs="Arial" w:eastAsia="Arial" w:hAnsi="Arial"/>
                <w:sz w:val="16"/>
                <w:szCs w:val="16"/>
                <w:color w:val="auto"/>
              </w:rPr>
              <w:t>Work-in-process</w:t>
            </w:r>
          </w:p>
        </w:tc>
        <w:tc>
          <w:tcPr>
            <w:tcW w:w="122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6,819,243</w:t>
            </w:r>
          </w:p>
        </w:tc>
        <w:tc>
          <w:tcPr>
            <w:tcW w:w="9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6,787,891</w:t>
            </w:r>
          </w:p>
        </w:tc>
      </w:tr>
      <w:tr>
        <w:trPr>
          <w:trHeight w:val="182"/>
        </w:trPr>
        <w:tc>
          <w:tcPr>
            <w:tcW w:w="62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Finished goods</w:t>
            </w: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12,748,529</w:t>
            </w:r>
          </w:p>
        </w:tc>
        <w:tc>
          <w:tcPr>
            <w:tcW w:w="3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12,041,034</w:t>
            </w:r>
          </w:p>
        </w:tc>
        <w:tc>
          <w:tcPr>
            <w:tcW w:w="60" w:type="dxa"/>
            <w:vAlign w:val="bottom"/>
            <w:shd w:val="clear" w:color="auto" w:fill="CCEEFF"/>
          </w:tcPr>
          <w:p>
            <w:pPr>
              <w:spacing w:after="0"/>
              <w:rPr>
                <w:sz w:val="15"/>
                <w:szCs w:val="15"/>
                <w:color w:val="auto"/>
              </w:rPr>
            </w:pPr>
          </w:p>
        </w:tc>
      </w:tr>
      <w:tr>
        <w:trPr>
          <w:trHeight w:val="187"/>
        </w:trPr>
        <w:tc>
          <w:tcPr>
            <w:tcW w:w="62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u w:val="single" w:color="auto"/>
                <w:color w:val="auto"/>
                <w:w w:val="98"/>
              </w:rPr>
              <w:t>$</w:t>
            </w:r>
            <w:r>
              <w:rPr>
                <w:rFonts w:ascii="Arial" w:cs="Arial" w:eastAsia="Arial" w:hAnsi="Arial"/>
                <w:sz w:val="16"/>
                <w:szCs w:val="16"/>
                <w:color w:val="auto"/>
                <w:w w:val="98"/>
              </w:rPr>
              <w:t>53,608,996</w:t>
            </w:r>
          </w:p>
        </w:tc>
        <w:tc>
          <w:tcPr>
            <w:tcW w:w="320" w:type="dxa"/>
            <w:vAlign w:val="bottom"/>
          </w:tcPr>
          <w:p>
            <w:pPr>
              <w:spacing w:after="0"/>
              <w:rPr>
                <w:sz w:val="16"/>
                <w:szCs w:val="16"/>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54,993,855</w:t>
            </w:r>
          </w:p>
        </w:tc>
      </w:tr>
      <w:tr>
        <w:trPr>
          <w:trHeight w:val="20"/>
        </w:trPr>
        <w:tc>
          <w:tcPr>
            <w:tcW w:w="6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1" w:lineRule="exact"/>
        <w:rPr>
          <w:sz w:val="20"/>
          <w:szCs w:val="20"/>
          <w:color w:val="auto"/>
        </w:rPr>
      </w:pPr>
    </w:p>
    <w:p>
      <w:pPr>
        <w:ind w:left="600"/>
        <w:spacing w:after="0"/>
        <w:rPr>
          <w:sz w:val="20"/>
          <w:szCs w:val="20"/>
          <w:color w:val="auto"/>
        </w:rPr>
      </w:pPr>
      <w:r>
        <w:rPr>
          <w:rFonts w:ascii="Arial" w:cs="Arial" w:eastAsia="Arial" w:hAnsi="Arial"/>
          <w:sz w:val="16"/>
          <w:szCs w:val="16"/>
          <w:color w:val="auto"/>
        </w:rPr>
        <w:t>Allowances for slow-moving and obsolete inventories were not significant as of December 31, 2009 and 2008.</w:t>
      </w:r>
    </w:p>
    <w:p>
      <w:pPr>
        <w:spacing w:after="0" w:line="156"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Plant and Equipment</w:t>
      </w:r>
    </w:p>
    <w:p>
      <w:pPr>
        <w:spacing w:after="0" w:line="156" w:lineRule="exact"/>
        <w:rPr>
          <w:sz w:val="20"/>
          <w:szCs w:val="20"/>
          <w:color w:val="auto"/>
        </w:rPr>
      </w:pPr>
    </w:p>
    <w:p>
      <w:pPr>
        <w:ind w:left="600" w:right="1999"/>
        <w:spacing w:after="0" w:line="244" w:lineRule="auto"/>
        <w:rPr>
          <w:sz w:val="20"/>
          <w:szCs w:val="20"/>
          <w:color w:val="auto"/>
        </w:rPr>
      </w:pPr>
      <w:r>
        <w:rPr>
          <w:rFonts w:ascii="Arial" w:cs="Arial" w:eastAsia="Arial" w:hAnsi="Arial"/>
          <w:sz w:val="16"/>
          <w:szCs w:val="16"/>
          <w:color w:val="auto"/>
        </w:rPr>
        <w:t>Plant and equipment are stated at cost. Depreciation and amortization are computed for financial reporting purposes using the straight-line method, with estimated useful lives of 7 to 40 years for buildings and improvements, and 3 to 10 years for machinery and equipment.</w:t>
      </w:r>
    </w:p>
    <w:p>
      <w:pPr>
        <w:spacing w:after="0" w:line="156"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Impairment of Disposal of Long-Lived Assets</w:t>
      </w:r>
    </w:p>
    <w:p>
      <w:pPr>
        <w:spacing w:after="0" w:line="156" w:lineRule="exact"/>
        <w:rPr>
          <w:sz w:val="20"/>
          <w:szCs w:val="20"/>
          <w:color w:val="auto"/>
        </w:rPr>
      </w:pPr>
    </w:p>
    <w:p>
      <w:pPr>
        <w:ind w:left="600" w:right="1539"/>
        <w:spacing w:after="0" w:line="242" w:lineRule="auto"/>
        <w:rPr>
          <w:sz w:val="20"/>
          <w:szCs w:val="20"/>
          <w:color w:val="auto"/>
        </w:rPr>
      </w:pPr>
      <w:r>
        <w:rPr>
          <w:rFonts w:ascii="Arial" w:cs="Arial" w:eastAsia="Arial" w:hAnsi="Arial"/>
          <w:sz w:val="16"/>
          <w:szCs w:val="16"/>
          <w:color w:val="auto"/>
        </w:rPr>
        <w:t>The Company reviews long-lived assets for impairment whenever events or changes in circumstances indicate that the carrying amount of an asset may not be recoverable. If such assets are determined to be impaired, the impairment to be recognized is measured by the amount by which the carrying amount of the assets exceeds the fair value of the assets.</w:t>
      </w:r>
    </w:p>
    <w:p>
      <w:pPr>
        <w:spacing w:after="0" w:line="145"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Patents</w:t>
      </w:r>
    </w:p>
    <w:p>
      <w:pPr>
        <w:spacing w:after="0" w:line="168" w:lineRule="exact"/>
        <w:rPr>
          <w:sz w:val="20"/>
          <w:szCs w:val="20"/>
          <w:color w:val="auto"/>
        </w:rPr>
      </w:pPr>
    </w:p>
    <w:p>
      <w:pPr>
        <w:ind w:left="600" w:right="1559"/>
        <w:spacing w:after="0"/>
        <w:rPr>
          <w:sz w:val="20"/>
          <w:szCs w:val="20"/>
          <w:color w:val="auto"/>
        </w:rPr>
      </w:pPr>
      <w:r>
        <w:rPr>
          <w:rFonts w:ascii="Arial" w:cs="Arial" w:eastAsia="Arial" w:hAnsi="Arial"/>
          <w:sz w:val="16"/>
          <w:szCs w:val="16"/>
          <w:color w:val="auto"/>
        </w:rPr>
        <w:t>The Company’s policy is to capitalize costs incurred to obtain patents. The cost of patents is amortized over their useful lives. The cost of patents in process is not amortized until issuance. Accumulated amortization was approximately $4,632,000 and $4,134,000 at December 31, 2009 and 2008, respectively. At December 31, 2009, patents had a weighted average amortization life of 10 years. Patent amortization expense was approximately $498,000, $420,000, and $353,000 in 2009, 2008 and 2007, respectively. For each of the next five years, patent amortization expense will approximate $525,000 annually.</w:t>
      </w:r>
    </w:p>
    <w:p>
      <w:pPr>
        <w:spacing w:after="0" w:line="148"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Revenue Recognition</w:t>
      </w:r>
    </w:p>
    <w:p>
      <w:pPr>
        <w:spacing w:after="0" w:line="156" w:lineRule="exact"/>
        <w:rPr>
          <w:sz w:val="20"/>
          <w:szCs w:val="20"/>
          <w:color w:val="auto"/>
        </w:rPr>
      </w:pPr>
    </w:p>
    <w:p>
      <w:pPr>
        <w:ind w:left="600" w:right="1719"/>
        <w:spacing w:after="0" w:line="244" w:lineRule="auto"/>
        <w:rPr>
          <w:sz w:val="20"/>
          <w:szCs w:val="20"/>
          <w:color w:val="auto"/>
        </w:rPr>
      </w:pPr>
      <w:r>
        <w:rPr>
          <w:rFonts w:ascii="Arial" w:cs="Arial" w:eastAsia="Arial" w:hAnsi="Arial"/>
          <w:sz w:val="16"/>
          <w:szCs w:val="16"/>
          <w:color w:val="auto"/>
        </w:rPr>
        <w:t>The Company’s revenue is generated from sales of its products. Sales are recognized when the product is shipped and legal title has passed to the customer. The Company does not generate sales from arrangements with multiple deliverables.</w:t>
      </w:r>
    </w:p>
    <w:p>
      <w:pPr>
        <w:spacing w:after="0" w:line="156"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Advertising and Promotional Materials</w:t>
      </w:r>
    </w:p>
    <w:p>
      <w:pPr>
        <w:spacing w:after="0" w:line="156" w:lineRule="exact"/>
        <w:rPr>
          <w:sz w:val="20"/>
          <w:szCs w:val="20"/>
          <w:color w:val="auto"/>
        </w:rPr>
      </w:pPr>
    </w:p>
    <w:p>
      <w:pPr>
        <w:ind w:left="600" w:right="1899"/>
        <w:spacing w:after="0" w:line="251" w:lineRule="auto"/>
        <w:rPr>
          <w:sz w:val="20"/>
          <w:szCs w:val="20"/>
          <w:color w:val="auto"/>
        </w:rPr>
      </w:pPr>
      <w:r>
        <w:rPr>
          <w:rFonts w:ascii="Arial" w:cs="Arial" w:eastAsia="Arial" w:hAnsi="Arial"/>
          <w:sz w:val="16"/>
          <w:szCs w:val="16"/>
          <w:color w:val="auto"/>
        </w:rPr>
        <w:t>All advertising and promotional costs are expensed as incurred and amounted to approximately $1,308,000, $1,543,000 and $1,407,000, in 2009, 2008 and 2007, respectively.</w:t>
      </w:r>
    </w:p>
    <w:p>
      <w:pPr>
        <w:spacing w:after="0" w:line="138"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Repairs and Maintenance</w:t>
      </w:r>
    </w:p>
    <w:p>
      <w:pPr>
        <w:spacing w:after="0" w:line="168" w:lineRule="exact"/>
        <w:rPr>
          <w:sz w:val="20"/>
          <w:szCs w:val="20"/>
          <w:color w:val="auto"/>
        </w:rPr>
      </w:pPr>
    </w:p>
    <w:p>
      <w:pPr>
        <w:ind w:left="600" w:right="1639"/>
        <w:spacing w:after="0" w:line="244" w:lineRule="auto"/>
        <w:rPr>
          <w:sz w:val="20"/>
          <w:szCs w:val="20"/>
          <w:color w:val="auto"/>
        </w:rPr>
      </w:pPr>
      <w:r>
        <w:rPr>
          <w:rFonts w:ascii="Arial" w:cs="Arial" w:eastAsia="Arial" w:hAnsi="Arial"/>
          <w:sz w:val="16"/>
          <w:szCs w:val="16"/>
          <w:color w:val="auto"/>
        </w:rPr>
        <w:t>Major renewals and improvements of property and equipment are capitalized, and repairs and maintenance are expensed as incurred. The Company incurred expenses relating to the repair and maintenance of plant and equipment of approximately $5,992,000, $8,097,000 and $7,701,000, in 2009, 2008 and 2007, respectively.</w:t>
      </w:r>
    </w:p>
    <w:p>
      <w:pPr>
        <w:spacing w:after="0" w:line="200" w:lineRule="exact"/>
        <w:rPr>
          <w:sz w:val="20"/>
          <w:szCs w:val="20"/>
          <w:color w:val="auto"/>
        </w:rPr>
      </w:pPr>
    </w:p>
    <w:p>
      <w:pPr>
        <w:spacing w:after="0" w:line="284"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17"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jc w:val="center"/>
        <w:ind w:right="1239"/>
        <w:spacing w:after="0"/>
        <w:rPr>
          <w:sz w:val="20"/>
          <w:szCs w:val="20"/>
          <w:color w:val="auto"/>
        </w:rPr>
      </w:pPr>
      <w:r>
        <w:rPr>
          <w:rFonts w:ascii="Arial" w:cs="Arial" w:eastAsia="Arial" w:hAnsi="Arial"/>
          <w:sz w:val="16"/>
          <w:szCs w:val="16"/>
          <w:b w:val="1"/>
          <w:bCs w:val="1"/>
          <w:color w:val="auto"/>
        </w:rPr>
        <w:t>(Continued)</w:t>
      </w:r>
    </w:p>
    <w:p>
      <w:pPr>
        <w:spacing w:after="0" w:line="168" w:lineRule="exact"/>
        <w:rPr>
          <w:sz w:val="20"/>
          <w:szCs w:val="20"/>
          <w:color w:val="auto"/>
        </w:rPr>
      </w:pPr>
    </w:p>
    <w:p>
      <w:pPr>
        <w:ind w:left="600" w:right="3339" w:hanging="311"/>
        <w:spacing w:after="0" w:line="443" w:lineRule="auto"/>
        <w:tabs>
          <w:tab w:leader="none" w:pos="600" w:val="left"/>
        </w:tabs>
        <w:numPr>
          <w:ilvl w:val="0"/>
          <w:numId w:val="18"/>
        </w:numPr>
        <w:rPr>
          <w:rFonts w:ascii="Arial" w:cs="Arial" w:eastAsia="Arial" w:hAnsi="Arial"/>
          <w:sz w:val="16"/>
          <w:szCs w:val="16"/>
          <w:color w:val="auto"/>
        </w:rPr>
      </w:pPr>
      <w:r>
        <w:rPr>
          <w:rFonts w:ascii="Arial" w:cs="Arial" w:eastAsia="Arial" w:hAnsi="Arial"/>
          <w:sz w:val="16"/>
          <w:szCs w:val="16"/>
          <w:color w:val="auto"/>
        </w:rPr>
        <w:t xml:space="preserve">SUMMARY OF SIGNIFICANT ACCOUNTING AND REPORTING POLICIES, continued </w:t>
      </w:r>
      <w:r>
        <w:rPr>
          <w:rFonts w:ascii="Arial" w:cs="Arial" w:eastAsia="Arial" w:hAnsi="Arial"/>
          <w:sz w:val="16"/>
          <w:szCs w:val="16"/>
          <w:u w:val="single" w:color="auto"/>
          <w:color w:val="auto"/>
        </w:rPr>
        <w:t>Self-Insurance</w:t>
      </w:r>
    </w:p>
    <w:p>
      <w:pPr>
        <w:spacing w:after="0" w:line="1" w:lineRule="exact"/>
        <w:rPr>
          <w:rFonts w:ascii="Arial" w:cs="Arial" w:eastAsia="Arial" w:hAnsi="Arial"/>
          <w:sz w:val="16"/>
          <w:szCs w:val="16"/>
          <w:color w:val="auto"/>
        </w:rPr>
      </w:pPr>
    </w:p>
    <w:p>
      <w:pPr>
        <w:ind w:left="600" w:right="1579"/>
        <w:spacing w:after="0" w:line="242" w:lineRule="auto"/>
        <w:rPr>
          <w:rFonts w:ascii="Arial" w:cs="Arial" w:eastAsia="Arial" w:hAnsi="Arial"/>
          <w:sz w:val="16"/>
          <w:szCs w:val="16"/>
          <w:color w:val="auto"/>
        </w:rPr>
      </w:pPr>
      <w:r>
        <w:rPr>
          <w:rFonts w:ascii="Arial" w:cs="Arial" w:eastAsia="Arial" w:hAnsi="Arial"/>
          <w:sz w:val="16"/>
          <w:szCs w:val="16"/>
          <w:color w:val="auto"/>
        </w:rPr>
        <w:t>The Company is self-insured for a portion of its risk on workers’ compensation and employee medical costs. The arrangements provide for stop loss insurance to manage the Company’s risk. Operations are charged with the cost of claims reported and an estimate of claims incurred but not reported based upon historical claims lag information and other data.</w:t>
      </w:r>
    </w:p>
    <w:p>
      <w:pPr>
        <w:spacing w:after="0" w:line="157"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u w:val="single" w:color="auto"/>
          <w:color w:val="auto"/>
        </w:rPr>
        <w:t>Product Warranty</w:t>
      </w:r>
    </w:p>
    <w:p>
      <w:pPr>
        <w:spacing w:after="0" w:line="156" w:lineRule="exact"/>
        <w:rPr>
          <w:rFonts w:ascii="Arial" w:cs="Arial" w:eastAsia="Arial" w:hAnsi="Arial"/>
          <w:sz w:val="16"/>
          <w:szCs w:val="16"/>
          <w:color w:val="auto"/>
        </w:rPr>
      </w:pPr>
    </w:p>
    <w:p>
      <w:pPr>
        <w:ind w:left="600" w:right="1539"/>
        <w:spacing w:after="0" w:line="244" w:lineRule="auto"/>
        <w:rPr>
          <w:rFonts w:ascii="Arial" w:cs="Arial" w:eastAsia="Arial" w:hAnsi="Arial"/>
          <w:sz w:val="16"/>
          <w:szCs w:val="16"/>
          <w:color w:val="auto"/>
        </w:rPr>
      </w:pPr>
      <w:r>
        <w:rPr>
          <w:rFonts w:ascii="Arial" w:cs="Arial" w:eastAsia="Arial" w:hAnsi="Arial"/>
          <w:sz w:val="16"/>
          <w:szCs w:val="16"/>
          <w:color w:val="auto"/>
        </w:rPr>
        <w:t>The Company periodically incurs product warranty costs. Any liabilities associated with product warranty are estimated based on known facts and circumstances and are not significant at December 31, 2009 and 2008. The Company does not offer extended warranties on its products.</w:t>
      </w:r>
    </w:p>
    <w:p>
      <w:pPr>
        <w:spacing w:after="0" w:line="143"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u w:val="single" w:color="auto"/>
          <w:color w:val="auto"/>
        </w:rPr>
        <w:t>Earnings Per Share</w:t>
      </w:r>
    </w:p>
    <w:p>
      <w:pPr>
        <w:spacing w:after="0" w:line="168" w:lineRule="exact"/>
        <w:rPr>
          <w:rFonts w:ascii="Arial" w:cs="Arial" w:eastAsia="Arial" w:hAnsi="Arial"/>
          <w:sz w:val="16"/>
          <w:szCs w:val="16"/>
          <w:color w:val="auto"/>
        </w:rPr>
      </w:pPr>
    </w:p>
    <w:p>
      <w:pPr>
        <w:ind w:left="600" w:right="1839"/>
        <w:spacing w:after="0" w:line="251" w:lineRule="auto"/>
        <w:rPr>
          <w:rFonts w:ascii="Arial" w:cs="Arial" w:eastAsia="Arial" w:hAnsi="Arial"/>
          <w:sz w:val="16"/>
          <w:szCs w:val="16"/>
          <w:color w:val="auto"/>
        </w:rPr>
      </w:pPr>
      <w:r>
        <w:rPr>
          <w:rFonts w:ascii="Arial" w:cs="Arial" w:eastAsia="Arial" w:hAnsi="Arial"/>
          <w:sz w:val="16"/>
          <w:szCs w:val="16"/>
          <w:color w:val="auto"/>
        </w:rPr>
        <w:t>The following table reconciles the numerators and denominators used in the calculations of basic and diluted earnings per share (EPS) for each of the last three years:</w:t>
      </w:r>
    </w:p>
    <w:p>
      <w:pPr>
        <w:spacing w:after="0" w:line="161"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2009</w:t>
            </w:r>
          </w:p>
        </w:tc>
        <w:tc>
          <w:tcPr>
            <w:tcW w:w="320" w:type="dxa"/>
            <w:vAlign w:val="bottom"/>
          </w:tcPr>
          <w:p>
            <w:pPr>
              <w:spacing w:after="0"/>
              <w:rPr>
                <w:sz w:val="16"/>
                <w:szCs w:val="16"/>
                <w:color w:val="auto"/>
              </w:rPr>
            </w:pPr>
          </w:p>
        </w:tc>
        <w:tc>
          <w:tcPr>
            <w:tcW w:w="10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2008</w:t>
            </w:r>
          </w:p>
        </w:tc>
        <w:tc>
          <w:tcPr>
            <w:tcW w:w="300" w:type="dxa"/>
            <w:vAlign w:val="bottom"/>
          </w:tcPr>
          <w:p>
            <w:pPr>
              <w:spacing w:after="0"/>
              <w:rPr>
                <w:sz w:val="16"/>
                <w:szCs w:val="16"/>
                <w:color w:val="auto"/>
              </w:rPr>
            </w:pPr>
          </w:p>
        </w:tc>
        <w:tc>
          <w:tcPr>
            <w:tcW w:w="10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2007</w:t>
            </w:r>
          </w:p>
        </w:tc>
        <w:tc>
          <w:tcPr>
            <w:tcW w:w="60" w:type="dxa"/>
            <w:vAlign w:val="bottom"/>
          </w:tcPr>
          <w:p>
            <w:pPr>
              <w:spacing w:after="0"/>
              <w:rPr>
                <w:sz w:val="16"/>
                <w:szCs w:val="16"/>
                <w:color w:val="auto"/>
              </w:rPr>
            </w:pPr>
          </w:p>
        </w:tc>
      </w:tr>
      <w:tr>
        <w:trPr>
          <w:trHeight w:val="174"/>
        </w:trPr>
        <w:tc>
          <w:tcPr>
            <w:tcW w:w="4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47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Numerators:</w:t>
            </w: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95"/>
        </w:trPr>
        <w:tc>
          <w:tcPr>
            <w:tcW w:w="4700" w:type="dxa"/>
            <w:vAlign w:val="bottom"/>
          </w:tcPr>
          <w:p>
            <w:pPr>
              <w:ind w:left="200"/>
              <w:spacing w:after="0"/>
              <w:rPr>
                <w:sz w:val="20"/>
                <w:szCs w:val="20"/>
                <w:color w:val="auto"/>
              </w:rPr>
            </w:pPr>
            <w:r>
              <w:rPr>
                <w:rFonts w:ascii="Arial" w:cs="Arial" w:eastAsia="Arial" w:hAnsi="Arial"/>
                <w:sz w:val="16"/>
                <w:szCs w:val="16"/>
                <w:color w:val="auto"/>
              </w:rPr>
              <w:t>Numerator for both basic and diluted EPS, net income</w:t>
            </w:r>
          </w:p>
        </w:tc>
        <w:tc>
          <w:tcPr>
            <w:tcW w:w="1000" w:type="dxa"/>
            <w:vAlign w:val="bottom"/>
          </w:tcPr>
          <w:p>
            <w:pPr>
              <w:jc w:val="right"/>
              <w:spacing w:after="0"/>
              <w:rPr>
                <w:sz w:val="20"/>
                <w:szCs w:val="20"/>
                <w:color w:val="auto"/>
              </w:rPr>
            </w:pPr>
            <w:r>
              <w:rPr>
                <w:rFonts w:ascii="Arial" w:cs="Arial" w:eastAsia="Arial" w:hAnsi="Arial"/>
                <w:sz w:val="16"/>
                <w:szCs w:val="16"/>
                <w:color w:val="auto"/>
              </w:rPr>
              <w:t>$ 64,637,085</w:t>
            </w:r>
          </w:p>
        </w:tc>
        <w:tc>
          <w:tcPr>
            <w:tcW w:w="320" w:type="dxa"/>
            <w:vAlign w:val="bottom"/>
          </w:tcPr>
          <w:p>
            <w:pPr>
              <w:spacing w:after="0"/>
              <w:rPr>
                <w:sz w:val="16"/>
                <w:szCs w:val="16"/>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$ 62,087,947</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w w:val="97"/>
              </w:rPr>
              <w:t>$ 122,130,021</w:t>
            </w:r>
          </w:p>
        </w:tc>
      </w:tr>
      <w:tr>
        <w:trPr>
          <w:trHeight w:val="170"/>
        </w:trPr>
        <w:tc>
          <w:tcPr>
            <w:tcW w:w="4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2"/>
        </w:trPr>
        <w:tc>
          <w:tcPr>
            <w:tcW w:w="47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Denominators:</w:t>
            </w:r>
          </w:p>
        </w:tc>
        <w:tc>
          <w:tcPr>
            <w:tcW w:w="10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1"/>
        </w:trPr>
        <w:tc>
          <w:tcPr>
            <w:tcW w:w="4700" w:type="dxa"/>
            <w:vAlign w:val="bottom"/>
          </w:tcPr>
          <w:p>
            <w:pPr>
              <w:ind w:left="200"/>
              <w:spacing w:after="0" w:line="181" w:lineRule="exact"/>
              <w:rPr>
                <w:sz w:val="20"/>
                <w:szCs w:val="20"/>
                <w:color w:val="auto"/>
              </w:rPr>
            </w:pPr>
            <w:r>
              <w:rPr>
                <w:rFonts w:ascii="Arial" w:cs="Arial" w:eastAsia="Arial" w:hAnsi="Arial"/>
                <w:sz w:val="16"/>
                <w:szCs w:val="16"/>
                <w:color w:val="auto"/>
              </w:rPr>
              <w:t>Denominator for basic EPS, weighted-average common</w:t>
            </w: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4700" w:type="dxa"/>
            <w:vAlign w:val="bottom"/>
          </w:tcPr>
          <w:p>
            <w:pPr>
              <w:ind w:left="380"/>
              <w:spacing w:after="0"/>
              <w:rPr>
                <w:sz w:val="20"/>
                <w:szCs w:val="20"/>
                <w:color w:val="auto"/>
              </w:rPr>
            </w:pPr>
            <w:r>
              <w:rPr>
                <w:rFonts w:ascii="Arial" w:cs="Arial" w:eastAsia="Arial" w:hAnsi="Arial"/>
                <w:sz w:val="16"/>
                <w:szCs w:val="16"/>
                <w:color w:val="auto"/>
              </w:rPr>
              <w:t>shares outstanding</w:t>
            </w:r>
          </w:p>
        </w:tc>
        <w:tc>
          <w:tcPr>
            <w:tcW w:w="1000" w:type="dxa"/>
            <w:vAlign w:val="bottom"/>
          </w:tcPr>
          <w:p>
            <w:pPr>
              <w:jc w:val="right"/>
              <w:spacing w:after="0"/>
              <w:rPr>
                <w:sz w:val="20"/>
                <w:szCs w:val="20"/>
                <w:color w:val="auto"/>
              </w:rPr>
            </w:pPr>
            <w:r>
              <w:rPr>
                <w:rFonts w:ascii="Arial" w:cs="Arial" w:eastAsia="Arial" w:hAnsi="Arial"/>
                <w:sz w:val="16"/>
                <w:szCs w:val="16"/>
                <w:color w:val="auto"/>
              </w:rPr>
              <w:t>137,227,677</w:t>
            </w:r>
          </w:p>
        </w:tc>
        <w:tc>
          <w:tcPr>
            <w:tcW w:w="320" w:type="dxa"/>
            <w:vAlign w:val="bottom"/>
          </w:tcPr>
          <w:p>
            <w:pPr>
              <w:spacing w:after="0"/>
              <w:rPr>
                <w:sz w:val="15"/>
                <w:szCs w:val="15"/>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140,902,304</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143,056,704</w:t>
            </w:r>
          </w:p>
        </w:tc>
      </w:tr>
      <w:tr>
        <w:trPr>
          <w:trHeight w:val="182"/>
        </w:trPr>
        <w:tc>
          <w:tcPr>
            <w:tcW w:w="470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Potentially dilutive shares resulting from stock option plans</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417,673</w:t>
            </w:r>
          </w:p>
        </w:tc>
        <w:tc>
          <w:tcPr>
            <w:tcW w:w="320" w:type="dxa"/>
            <w:vAlign w:val="bottom"/>
            <w:shd w:val="clear" w:color="auto" w:fill="CCEEFF"/>
          </w:tcPr>
          <w:p>
            <w:pPr>
              <w:spacing w:after="0"/>
              <w:rPr>
                <w:sz w:val="15"/>
                <w:szCs w:val="15"/>
                <w:color w:val="auto"/>
              </w:rPr>
            </w:pPr>
          </w:p>
        </w:tc>
        <w:tc>
          <w:tcPr>
            <w:tcW w:w="13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102,632</w:t>
            </w:r>
          </w:p>
        </w:tc>
        <w:tc>
          <w:tcPr>
            <w:tcW w:w="10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1,013,593</w:t>
            </w:r>
          </w:p>
        </w:tc>
      </w:tr>
      <w:tr>
        <w:trPr>
          <w:trHeight w:val="20"/>
        </w:trPr>
        <w:tc>
          <w:tcPr>
            <w:tcW w:w="47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7"/>
        </w:trPr>
        <w:tc>
          <w:tcPr>
            <w:tcW w:w="4700" w:type="dxa"/>
            <w:vAlign w:val="bottom"/>
          </w:tcPr>
          <w:p>
            <w:pPr>
              <w:ind w:left="200"/>
              <w:spacing w:after="0"/>
              <w:rPr>
                <w:sz w:val="20"/>
                <w:szCs w:val="20"/>
                <w:color w:val="auto"/>
              </w:rPr>
            </w:pPr>
            <w:r>
              <w:rPr>
                <w:rFonts w:ascii="Arial" w:cs="Arial" w:eastAsia="Arial" w:hAnsi="Arial"/>
                <w:sz w:val="16"/>
                <w:szCs w:val="16"/>
                <w:color w:val="auto"/>
              </w:rPr>
              <w:t>Denominator for diluted EPS</w:t>
            </w:r>
          </w:p>
        </w:tc>
        <w:tc>
          <w:tcPr>
            <w:tcW w:w="1000" w:type="dxa"/>
            <w:vAlign w:val="bottom"/>
          </w:tcPr>
          <w:p>
            <w:pPr>
              <w:jc w:val="right"/>
              <w:spacing w:after="0"/>
              <w:rPr>
                <w:sz w:val="20"/>
                <w:szCs w:val="20"/>
                <w:color w:val="auto"/>
              </w:rPr>
            </w:pPr>
            <w:r>
              <w:rPr>
                <w:rFonts w:ascii="Arial" w:cs="Arial" w:eastAsia="Arial" w:hAnsi="Arial"/>
                <w:sz w:val="16"/>
                <w:szCs w:val="16"/>
                <w:color w:val="auto"/>
              </w:rPr>
              <w:t>137,645,350</w:t>
            </w:r>
          </w:p>
        </w:tc>
        <w:tc>
          <w:tcPr>
            <w:tcW w:w="320" w:type="dxa"/>
            <w:vAlign w:val="bottom"/>
          </w:tcPr>
          <w:p>
            <w:pPr>
              <w:spacing w:after="0"/>
              <w:rPr>
                <w:sz w:val="16"/>
                <w:szCs w:val="16"/>
                <w:color w:val="auto"/>
              </w:rPr>
            </w:pPr>
          </w:p>
        </w:tc>
        <w:tc>
          <w:tcPr>
            <w:tcW w:w="1300" w:type="dxa"/>
            <w:vAlign w:val="bottom"/>
            <w:gridSpan w:val="2"/>
          </w:tcPr>
          <w:p>
            <w:pPr>
              <w:jc w:val="right"/>
              <w:ind w:right="300"/>
              <w:spacing w:after="0"/>
              <w:rPr>
                <w:sz w:val="20"/>
                <w:szCs w:val="20"/>
                <w:color w:val="auto"/>
              </w:rPr>
            </w:pPr>
            <w:r>
              <w:rPr>
                <w:rFonts w:ascii="Arial" w:cs="Arial" w:eastAsia="Arial" w:hAnsi="Arial"/>
                <w:sz w:val="16"/>
                <w:szCs w:val="16"/>
                <w:color w:val="auto"/>
              </w:rPr>
              <w:t>141,004,936</w:t>
            </w:r>
          </w:p>
        </w:tc>
        <w:tc>
          <w:tcPr>
            <w:tcW w:w="1080" w:type="dxa"/>
            <w:vAlign w:val="bottom"/>
            <w:gridSpan w:val="2"/>
          </w:tcPr>
          <w:p>
            <w:pPr>
              <w:jc w:val="right"/>
              <w:ind w:right="60"/>
              <w:spacing w:after="0"/>
              <w:rPr>
                <w:sz w:val="20"/>
                <w:szCs w:val="20"/>
                <w:color w:val="auto"/>
              </w:rPr>
            </w:pPr>
            <w:r>
              <w:rPr>
                <w:rFonts w:ascii="Arial" w:cs="Arial" w:eastAsia="Arial" w:hAnsi="Arial"/>
                <w:sz w:val="16"/>
                <w:szCs w:val="16"/>
                <w:color w:val="auto"/>
              </w:rPr>
              <w:t>144,070,297</w:t>
            </w:r>
          </w:p>
        </w:tc>
      </w:tr>
      <w:tr>
        <w:trPr>
          <w:trHeight w:val="20"/>
        </w:trPr>
        <w:tc>
          <w:tcPr>
            <w:tcW w:w="4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9" w:lineRule="exact"/>
        <w:rPr>
          <w:sz w:val="20"/>
          <w:szCs w:val="20"/>
          <w:color w:val="auto"/>
        </w:rPr>
      </w:pPr>
    </w:p>
    <w:p>
      <w:pPr>
        <w:ind w:left="600" w:right="1939"/>
        <w:spacing w:after="0" w:line="244" w:lineRule="auto"/>
        <w:rPr>
          <w:sz w:val="20"/>
          <w:szCs w:val="20"/>
          <w:color w:val="auto"/>
        </w:rPr>
      </w:pPr>
      <w:r>
        <w:rPr>
          <w:rFonts w:ascii="Arial" w:cs="Arial" w:eastAsia="Arial" w:hAnsi="Arial"/>
          <w:sz w:val="16"/>
          <w:szCs w:val="16"/>
          <w:color w:val="auto"/>
        </w:rPr>
        <w:t>For the years ended December 31, 2009, 2008 and 2007, 8,169,888, 7,185,887 and 2,369,271 shares, respectively, related to stock option plans were not included in diluted average common shares outstanding because their effect would be antidilutive.</w:t>
      </w:r>
    </w:p>
    <w:p>
      <w:pPr>
        <w:spacing w:after="0" w:line="144"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Other Comprehensive Income (Loss)</w:t>
      </w:r>
    </w:p>
    <w:p>
      <w:pPr>
        <w:spacing w:after="0" w:line="168" w:lineRule="exact"/>
        <w:rPr>
          <w:sz w:val="20"/>
          <w:szCs w:val="20"/>
          <w:color w:val="auto"/>
        </w:rPr>
      </w:pPr>
    </w:p>
    <w:p>
      <w:pPr>
        <w:ind w:left="600" w:right="1679"/>
        <w:spacing w:after="0" w:line="242" w:lineRule="auto"/>
        <w:rPr>
          <w:sz w:val="20"/>
          <w:szCs w:val="20"/>
          <w:color w:val="auto"/>
        </w:rPr>
      </w:pPr>
      <w:r>
        <w:rPr>
          <w:rFonts w:ascii="Arial" w:cs="Arial" w:eastAsia="Arial" w:hAnsi="Arial"/>
          <w:sz w:val="16"/>
          <w:szCs w:val="16"/>
          <w:color w:val="auto"/>
        </w:rPr>
        <w:t>Comprehensive income reflects the change in equity of a business enterprise during a period from transactions and other events and circumstances from non-owner sources. For the Company, comprehensive income represents net income adjusted for unrealized gains and losses on certain investments and foreign currency translation adjustments.</w:t>
      </w:r>
    </w:p>
    <w:p>
      <w:pPr>
        <w:spacing w:after="0" w:line="145"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Foreign Currency Translation</w:t>
      </w:r>
    </w:p>
    <w:p>
      <w:pPr>
        <w:spacing w:after="0" w:line="156" w:lineRule="exact"/>
        <w:rPr>
          <w:sz w:val="20"/>
          <w:szCs w:val="20"/>
          <w:color w:val="auto"/>
        </w:rPr>
      </w:pPr>
    </w:p>
    <w:p>
      <w:pPr>
        <w:ind w:left="600" w:right="1619"/>
        <w:spacing w:after="0"/>
        <w:rPr>
          <w:sz w:val="20"/>
          <w:szCs w:val="20"/>
          <w:color w:val="auto"/>
        </w:rPr>
      </w:pPr>
      <w:r>
        <w:rPr>
          <w:rFonts w:ascii="Arial" w:cs="Arial" w:eastAsia="Arial" w:hAnsi="Arial"/>
          <w:sz w:val="16"/>
          <w:szCs w:val="16"/>
          <w:color w:val="auto"/>
        </w:rPr>
        <w:t>The financial position and results of operations of the Company’s foreign subsidiaries are measured using the local currency as the functional currency. Assets and liabilities are translated at the exchange rate in effect at year-end. Income statement accounts are translated at the average rate of exchange in effect during the year. The resulting translation adjustment is recorded as a separate component of shareholders’ investment. Gains and losses arising from re-measuring foreign currency transactions into the appropriate currency are included in the determination of net income.</w:t>
      </w:r>
    </w:p>
    <w:p>
      <w:pPr>
        <w:spacing w:after="0" w:line="160" w:lineRule="exact"/>
        <w:rPr>
          <w:sz w:val="20"/>
          <w:szCs w:val="20"/>
          <w:color w:val="auto"/>
        </w:rPr>
      </w:pPr>
    </w:p>
    <w:p>
      <w:pPr>
        <w:ind w:left="600"/>
        <w:spacing w:after="0"/>
        <w:rPr>
          <w:sz w:val="20"/>
          <w:szCs w:val="20"/>
          <w:color w:val="auto"/>
        </w:rPr>
      </w:pPr>
      <w:r>
        <w:rPr>
          <w:rFonts w:ascii="Arial" w:cs="Arial" w:eastAsia="Arial" w:hAnsi="Arial"/>
          <w:sz w:val="16"/>
          <w:szCs w:val="16"/>
          <w:u w:val="single" w:color="auto"/>
          <w:color w:val="auto"/>
        </w:rPr>
        <w:t>Stock-Based Compensation Plans</w:t>
      </w:r>
    </w:p>
    <w:p>
      <w:pPr>
        <w:spacing w:after="0" w:line="156" w:lineRule="exact"/>
        <w:rPr>
          <w:sz w:val="20"/>
          <w:szCs w:val="20"/>
          <w:color w:val="auto"/>
        </w:rPr>
      </w:pPr>
    </w:p>
    <w:p>
      <w:pPr>
        <w:ind w:left="600" w:right="1779"/>
        <w:spacing w:after="0" w:line="242" w:lineRule="auto"/>
        <w:rPr>
          <w:sz w:val="20"/>
          <w:szCs w:val="20"/>
          <w:color w:val="auto"/>
        </w:rPr>
      </w:pPr>
      <w:r>
        <w:rPr>
          <w:rFonts w:ascii="Arial" w:cs="Arial" w:eastAsia="Arial" w:hAnsi="Arial"/>
          <w:sz w:val="16"/>
          <w:szCs w:val="16"/>
          <w:color w:val="auto"/>
        </w:rPr>
        <w:t>The Company accounts for stock-based compensation using the fair value recognition provisions of ASC 718, “Share-Based Payment,” which was adopted using the modified-prospective transition method effective January 1, 2006. As described more fully in Note 6, the Company provides compensation benefits under two stock option plans, a restricted plan and an employee stock purchase plan.</w:t>
      </w:r>
    </w:p>
    <w:p>
      <w:pPr>
        <w:spacing w:after="0" w:line="200" w:lineRule="exact"/>
        <w:rPr>
          <w:sz w:val="20"/>
          <w:szCs w:val="20"/>
          <w:color w:val="auto"/>
        </w:rPr>
      </w:pPr>
    </w:p>
    <w:p>
      <w:pPr>
        <w:spacing w:after="0" w:line="29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43" w:name="page44"/>
    <w:bookmarkEnd w:id="43"/>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17"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jc w:val="center"/>
        <w:ind w:right="1239"/>
        <w:spacing w:after="0"/>
        <w:rPr>
          <w:sz w:val="20"/>
          <w:szCs w:val="20"/>
          <w:color w:val="auto"/>
        </w:rPr>
      </w:pPr>
      <w:r>
        <w:rPr>
          <w:rFonts w:ascii="Arial" w:cs="Arial" w:eastAsia="Arial" w:hAnsi="Arial"/>
          <w:sz w:val="16"/>
          <w:szCs w:val="16"/>
          <w:b w:val="1"/>
          <w:bCs w:val="1"/>
          <w:color w:val="auto"/>
        </w:rPr>
        <w:t>(Continued)</w:t>
      </w:r>
    </w:p>
    <w:p>
      <w:pPr>
        <w:spacing w:after="0" w:line="168" w:lineRule="exact"/>
        <w:rPr>
          <w:sz w:val="20"/>
          <w:szCs w:val="20"/>
          <w:color w:val="auto"/>
        </w:rPr>
      </w:pPr>
    </w:p>
    <w:p>
      <w:pPr>
        <w:ind w:left="600" w:right="3339" w:hanging="311"/>
        <w:spacing w:after="0" w:line="443" w:lineRule="auto"/>
        <w:tabs>
          <w:tab w:leader="none" w:pos="6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xml:space="preserve">SUMMARY OF SIGNIFICANT ACCOUNTING AND REPORTING POLICIES, continued </w:t>
      </w:r>
      <w:r>
        <w:rPr>
          <w:rFonts w:ascii="Arial" w:cs="Arial" w:eastAsia="Arial" w:hAnsi="Arial"/>
          <w:sz w:val="16"/>
          <w:szCs w:val="16"/>
          <w:u w:val="single" w:color="auto"/>
          <w:color w:val="auto"/>
        </w:rPr>
        <w:t>Estimates</w:t>
      </w:r>
    </w:p>
    <w:p>
      <w:pPr>
        <w:spacing w:after="0" w:line="1" w:lineRule="exact"/>
        <w:rPr>
          <w:rFonts w:ascii="Arial" w:cs="Arial" w:eastAsia="Arial" w:hAnsi="Arial"/>
          <w:sz w:val="16"/>
          <w:szCs w:val="16"/>
          <w:color w:val="auto"/>
        </w:rPr>
      </w:pPr>
    </w:p>
    <w:p>
      <w:pPr>
        <w:ind w:left="600" w:right="1559"/>
        <w:spacing w:after="0" w:line="241" w:lineRule="auto"/>
        <w:rPr>
          <w:rFonts w:ascii="Arial" w:cs="Arial" w:eastAsia="Arial" w:hAnsi="Arial"/>
          <w:sz w:val="16"/>
          <w:szCs w:val="16"/>
          <w:color w:val="auto"/>
        </w:rPr>
      </w:pPr>
      <w:r>
        <w:rPr>
          <w:rFonts w:ascii="Arial" w:cs="Arial" w:eastAsia="Arial" w:hAnsi="Arial"/>
          <w:sz w:val="16"/>
          <w:szCs w:val="16"/>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342"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u w:val="single" w:color="auto"/>
          <w:color w:val="auto"/>
        </w:rPr>
        <w:t>New Accounting Standards</w:t>
      </w:r>
    </w:p>
    <w:p>
      <w:pPr>
        <w:spacing w:after="0" w:line="156" w:lineRule="exact"/>
        <w:rPr>
          <w:rFonts w:ascii="Arial" w:cs="Arial" w:eastAsia="Arial" w:hAnsi="Arial"/>
          <w:sz w:val="16"/>
          <w:szCs w:val="16"/>
          <w:color w:val="auto"/>
        </w:rPr>
      </w:pPr>
    </w:p>
    <w:p>
      <w:pPr>
        <w:ind w:left="600" w:right="1559"/>
        <w:spacing w:after="0" w:line="239" w:lineRule="auto"/>
        <w:rPr>
          <w:rFonts w:ascii="Arial" w:cs="Arial" w:eastAsia="Arial" w:hAnsi="Arial"/>
          <w:sz w:val="16"/>
          <w:szCs w:val="16"/>
          <w:color w:val="auto"/>
        </w:rPr>
      </w:pPr>
      <w:r>
        <w:rPr>
          <w:rFonts w:ascii="Arial" w:cs="Arial" w:eastAsia="Arial" w:hAnsi="Arial"/>
          <w:sz w:val="16"/>
          <w:szCs w:val="16"/>
          <w:color w:val="auto"/>
        </w:rPr>
        <w:t>In June 2009, the Financial Accounting Standards Board (FASB) issued authoritative guidance at Accounting Standards Codification (“ASC”) 105, “FASB Accounting Standards Codification and the Hierarchy of Generally Accepted Accounting Principles” (“ASC 105”). The standard establishes FASB Accounting Standards Codification (“Codification”) as the single source of authoritative U.S. GAAP. Rules and interpretive releases of the U.S. Securities and Exchange Commission (SEC), under authority of federal securities laws, are also sources of authoritative U.S. GAAP for U.S. SEC registrants. ASC 105 is effective for interim or annual financial periods ending after September 15, 2009. All existing accounting standards are superseded as described in this statement. All other accounting literature not included in the Codification is non-authoritative. The adoption of the codification standards did not have a material impact on the Company’s consolidated financial statements.</w:t>
      </w:r>
    </w:p>
    <w:p>
      <w:pPr>
        <w:spacing w:after="0" w:line="149" w:lineRule="exact"/>
        <w:rPr>
          <w:rFonts w:ascii="Arial" w:cs="Arial" w:eastAsia="Arial" w:hAnsi="Arial"/>
          <w:sz w:val="16"/>
          <w:szCs w:val="16"/>
          <w:color w:val="auto"/>
        </w:rPr>
      </w:pPr>
    </w:p>
    <w:p>
      <w:pPr>
        <w:ind w:left="600" w:right="1639"/>
        <w:spacing w:after="0"/>
        <w:rPr>
          <w:rFonts w:ascii="Arial" w:cs="Arial" w:eastAsia="Arial" w:hAnsi="Arial"/>
          <w:sz w:val="16"/>
          <w:szCs w:val="16"/>
          <w:color w:val="auto"/>
        </w:rPr>
      </w:pPr>
      <w:r>
        <w:rPr>
          <w:rFonts w:ascii="Arial" w:cs="Arial" w:eastAsia="Arial" w:hAnsi="Arial"/>
          <w:sz w:val="16"/>
          <w:szCs w:val="16"/>
          <w:color w:val="auto"/>
        </w:rPr>
        <w:t>In June 2008, FASB issued authoritative guidance located at ASC 260, “Determining Whether Instruments Granted in Share-Based Payment Transactions Are Participating Securities” (“ASC 260”). The standard states that unvested share-based payment awards that contain nonforfeitable rights to dividends or dividend equivalents (whether paid or unpaid) are participating securities and shall be included in the computation of earnings per share pursuant to the two class method. The standard is effective for fiscal years beginning after December 15, 2008. The Company concluded that the adoption of the provisions of ASC 260 would not change its reported basic and diluted earnings per share amounts.</w:t>
      </w:r>
    </w:p>
    <w:p>
      <w:pPr>
        <w:spacing w:after="0" w:line="158" w:lineRule="exact"/>
        <w:rPr>
          <w:rFonts w:ascii="Arial" w:cs="Arial" w:eastAsia="Arial" w:hAnsi="Arial"/>
          <w:sz w:val="16"/>
          <w:szCs w:val="16"/>
          <w:color w:val="auto"/>
        </w:rPr>
      </w:pPr>
    </w:p>
    <w:p>
      <w:pPr>
        <w:ind w:left="600" w:right="1639"/>
        <w:spacing w:after="0" w:line="239" w:lineRule="auto"/>
        <w:rPr>
          <w:rFonts w:ascii="Arial" w:cs="Arial" w:eastAsia="Arial" w:hAnsi="Arial"/>
          <w:sz w:val="16"/>
          <w:szCs w:val="16"/>
          <w:color w:val="auto"/>
        </w:rPr>
      </w:pPr>
      <w:r>
        <w:rPr>
          <w:rFonts w:ascii="Arial" w:cs="Arial" w:eastAsia="Arial" w:hAnsi="Arial"/>
          <w:sz w:val="16"/>
          <w:szCs w:val="16"/>
          <w:color w:val="auto"/>
        </w:rPr>
        <w:t>In April 2009, FASB issued authoritative guidance at ASC 820, “Determining Fair Value When the Volume and Level of Activity for the Asset or Liability Have Significantly Decreased and Identifying Transactions that are Not Orderly,” and “Recognition and Presentation of Other-Than-Temporary Impairments.” This standard provides additional application guidance and enhanced disclosures about fair value measurements and impairments of securities, which clarifies the objective and method of fair value measurement even when there has been a significant decrease in market activity for the asset being measured. The standard established a new model for measuring other-than-temporary impairments for debt securities, including establishing criteria for when to recognize a write-down through earnings. There was no impact to the Company’s consolidated financial statements as a result of the adoption of this new guidance.</w:t>
      </w:r>
    </w:p>
    <w:p>
      <w:pPr>
        <w:spacing w:after="0" w:line="149" w:lineRule="exact"/>
        <w:rPr>
          <w:rFonts w:ascii="Arial" w:cs="Arial" w:eastAsia="Arial" w:hAnsi="Arial"/>
          <w:sz w:val="16"/>
          <w:szCs w:val="16"/>
          <w:color w:val="auto"/>
        </w:rPr>
      </w:pPr>
    </w:p>
    <w:p>
      <w:pPr>
        <w:ind w:left="600" w:right="1679"/>
        <w:spacing w:after="0" w:line="241" w:lineRule="auto"/>
        <w:rPr>
          <w:rFonts w:ascii="Arial" w:cs="Arial" w:eastAsia="Arial" w:hAnsi="Arial"/>
          <w:sz w:val="16"/>
          <w:szCs w:val="16"/>
          <w:color w:val="auto"/>
        </w:rPr>
      </w:pPr>
      <w:r>
        <w:rPr>
          <w:rFonts w:ascii="Arial" w:cs="Arial" w:eastAsia="Arial" w:hAnsi="Arial"/>
          <w:sz w:val="16"/>
          <w:szCs w:val="16"/>
          <w:color w:val="auto"/>
        </w:rPr>
        <w:t>In September 2009, FASB issued Accounting Standards Update No. 2009-12, “Investments in Certain Entities that Calculate Net Asset Value Per Share (or its Equivalent)” (“ASU 2009-12”). ASU 2009-12 amends ASC 820 by providing additional guidance on measuring the fair value of certain alternative investments. The amended guidance is effective for annual financial periods ending after December 15, 2009. The amended guidance did not have a material impact on the Company’s consolidated financial statements.</w:t>
      </w:r>
    </w:p>
    <w:p>
      <w:pPr>
        <w:spacing w:after="0" w:line="145" w:lineRule="exact"/>
        <w:rPr>
          <w:rFonts w:ascii="Arial" w:cs="Arial" w:eastAsia="Arial" w:hAnsi="Arial"/>
          <w:sz w:val="16"/>
          <w:szCs w:val="16"/>
          <w:color w:val="auto"/>
        </w:rPr>
      </w:pPr>
    </w:p>
    <w:p>
      <w:pPr>
        <w:ind w:left="600" w:right="1619"/>
        <w:spacing w:after="0" w:line="239" w:lineRule="auto"/>
        <w:rPr>
          <w:rFonts w:ascii="Arial" w:cs="Arial" w:eastAsia="Arial" w:hAnsi="Arial"/>
          <w:sz w:val="16"/>
          <w:szCs w:val="16"/>
          <w:color w:val="auto"/>
        </w:rPr>
      </w:pPr>
      <w:r>
        <w:rPr>
          <w:rFonts w:ascii="Arial" w:cs="Arial" w:eastAsia="Arial" w:hAnsi="Arial"/>
          <w:sz w:val="16"/>
          <w:szCs w:val="16"/>
          <w:color w:val="auto"/>
        </w:rPr>
        <w:t>In January 2010, FASB issued Accounting Standards Update No. 2010-06, “Improving Disclosures about Fair Value Measurements” (“ASU 2010-06”). ASU 2010-06 amends ASC 820 to require a number of additional disclosures regarding fair value measurements. The amended guidance requires entities to disclose the amounts of significant transfers between Level 1 and Level 2 of the fair value hierarchy and the reasons for these transfers, the reasons for any transfers in or out of Level 3, and information in the reconciliation of recurring Level 3 measurements about purchases, sales, issuances and settlements on a gross basis. The ASU also clarifies the requirement for entities to disclose information about both the valuation techniques and inputs used in estimating Level 2 and Level 3 fair value measurements. The amended guidance is effective for interim and annual financial periods beginning after December 15, 2009. ASU 2010-06 is not expected to have a significant effect on the Company’s consolidated financial position, footnote disclosures or results of operations.</w:t>
      </w:r>
    </w:p>
    <w:p>
      <w:pPr>
        <w:spacing w:after="0" w:line="200" w:lineRule="exact"/>
        <w:rPr>
          <w:rFonts w:ascii="Arial" w:cs="Arial" w:eastAsia="Arial" w:hAnsi="Arial"/>
          <w:sz w:val="16"/>
          <w:szCs w:val="16"/>
          <w:color w:val="auto"/>
        </w:rPr>
      </w:pPr>
    </w:p>
    <w:p>
      <w:pPr>
        <w:spacing w:after="0" w:line="300" w:lineRule="exact"/>
        <w:rPr>
          <w:rFonts w:ascii="Arial" w:cs="Arial" w:eastAsia="Arial" w:hAnsi="Arial"/>
          <w:sz w:val="16"/>
          <w:szCs w:val="16"/>
          <w:color w:val="auto"/>
        </w:rPr>
      </w:pPr>
    </w:p>
    <w:p>
      <w:pPr>
        <w:ind w:left="4400" w:hanging="101"/>
        <w:spacing w:after="0"/>
        <w:tabs>
          <w:tab w:leader="none" w:pos="44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17"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jc w:val="center"/>
        <w:ind w:right="1239"/>
        <w:spacing w:after="0"/>
        <w:rPr>
          <w:sz w:val="20"/>
          <w:szCs w:val="20"/>
          <w:color w:val="auto"/>
        </w:rPr>
      </w:pPr>
      <w:r>
        <w:rPr>
          <w:rFonts w:ascii="Arial" w:cs="Arial" w:eastAsia="Arial" w:hAnsi="Arial"/>
          <w:sz w:val="16"/>
          <w:szCs w:val="16"/>
          <w:b w:val="1"/>
          <w:bCs w:val="1"/>
          <w:color w:val="auto"/>
        </w:rPr>
        <w:t>(Continued)</w:t>
      </w:r>
    </w:p>
    <w:p>
      <w:pPr>
        <w:spacing w:after="0" w:line="168" w:lineRule="exact"/>
        <w:rPr>
          <w:sz w:val="20"/>
          <w:szCs w:val="20"/>
          <w:color w:val="auto"/>
        </w:rPr>
      </w:pPr>
    </w:p>
    <w:p>
      <w:pPr>
        <w:ind w:left="600" w:hanging="311"/>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SUMMARY OF SIGNIFICANT ACCOUNTING AND REPORTING POLICIES, continued</w:t>
      </w:r>
    </w:p>
    <w:p>
      <w:pPr>
        <w:spacing w:after="0" w:line="156" w:lineRule="exact"/>
        <w:rPr>
          <w:rFonts w:ascii="Arial" w:cs="Arial" w:eastAsia="Arial" w:hAnsi="Arial"/>
          <w:sz w:val="16"/>
          <w:szCs w:val="16"/>
          <w:color w:val="auto"/>
        </w:rPr>
      </w:pPr>
    </w:p>
    <w:p>
      <w:pPr>
        <w:ind w:left="600" w:right="1539"/>
        <w:spacing w:after="0" w:line="241" w:lineRule="auto"/>
        <w:rPr>
          <w:rFonts w:ascii="Arial" w:cs="Arial" w:eastAsia="Arial" w:hAnsi="Arial"/>
          <w:sz w:val="16"/>
          <w:szCs w:val="16"/>
          <w:color w:val="auto"/>
        </w:rPr>
      </w:pPr>
      <w:r>
        <w:rPr>
          <w:rFonts w:ascii="Arial" w:cs="Arial" w:eastAsia="Arial" w:hAnsi="Arial"/>
          <w:sz w:val="16"/>
          <w:szCs w:val="16"/>
          <w:color w:val="auto"/>
        </w:rPr>
        <w:t>In June 2009, the FASB issued authoritative guidance on the consolidation of variable interest entities, which is effective for annual financial periods beginning after November 15, 2009. The new guidance requires evaluations of whether entities represent variable interest entities, ongoing assessments of control over such entities, and additional disclosures for variable interests. The adoption of this new guidance is not expected to have a significant effect on the Company’s consolidated financial position or results of operations.</w:t>
      </w:r>
    </w:p>
    <w:p>
      <w:pPr>
        <w:spacing w:after="0" w:line="145"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u w:val="single" w:color="auto"/>
          <w:color w:val="auto"/>
        </w:rPr>
        <w:t>Subsequent Events</w:t>
      </w:r>
    </w:p>
    <w:p>
      <w:pPr>
        <w:spacing w:after="0" w:line="168" w:lineRule="exact"/>
        <w:rPr>
          <w:rFonts w:ascii="Arial" w:cs="Arial" w:eastAsia="Arial" w:hAnsi="Arial"/>
          <w:sz w:val="16"/>
          <w:szCs w:val="16"/>
          <w:color w:val="auto"/>
        </w:rPr>
      </w:pPr>
    </w:p>
    <w:p>
      <w:pPr>
        <w:ind w:left="600" w:right="1599"/>
        <w:spacing w:after="0"/>
        <w:rPr>
          <w:rFonts w:ascii="Arial" w:cs="Arial" w:eastAsia="Arial" w:hAnsi="Arial"/>
          <w:sz w:val="16"/>
          <w:szCs w:val="16"/>
          <w:color w:val="auto"/>
        </w:rPr>
      </w:pPr>
      <w:r>
        <w:rPr>
          <w:rFonts w:ascii="Arial" w:cs="Arial" w:eastAsia="Arial" w:hAnsi="Arial"/>
          <w:sz w:val="16"/>
          <w:szCs w:val="16"/>
          <w:color w:val="auto"/>
        </w:rPr>
        <w:t>In May 2009, FASB issued authoritative guidance at ASC 855, “Subsequent Events.” The standard establishes principles and requirements for subsequent events. The standard also sets forth the period after the balance sheet date during which management shall evaluate events/transactions that may occur for potential recognition or disclosure in its financial statements. The standard is effective for interim or annual financial periods ending after June 15, 2009. The Company has evaluated subsequent events from its balance sheet date of December 31, 2009 to February 23, 2010, and concluded that no events/transactions require disclosure or recognition in its consolidated financial statements.</w:t>
      </w:r>
    </w:p>
    <w:p>
      <w:pPr>
        <w:spacing w:after="0" w:line="145" w:lineRule="exact"/>
        <w:rPr>
          <w:rFonts w:ascii="Arial" w:cs="Arial" w:eastAsia="Arial" w:hAnsi="Arial"/>
          <w:sz w:val="16"/>
          <w:szCs w:val="16"/>
          <w:color w:val="auto"/>
        </w:rPr>
      </w:pPr>
    </w:p>
    <w:p>
      <w:pPr>
        <w:ind w:left="600" w:hanging="311"/>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LINE OF CREDIT</w:t>
      </w:r>
    </w:p>
    <w:p>
      <w:pPr>
        <w:spacing w:after="0" w:line="156" w:lineRule="exact"/>
        <w:rPr>
          <w:rFonts w:ascii="Arial" w:cs="Arial" w:eastAsia="Arial" w:hAnsi="Arial"/>
          <w:sz w:val="16"/>
          <w:szCs w:val="16"/>
          <w:color w:val="auto"/>
        </w:rPr>
      </w:pPr>
    </w:p>
    <w:p>
      <w:pPr>
        <w:ind w:left="600" w:right="1559"/>
        <w:spacing w:after="0" w:line="244" w:lineRule="auto"/>
        <w:rPr>
          <w:rFonts w:ascii="Arial" w:cs="Arial" w:eastAsia="Arial" w:hAnsi="Arial"/>
          <w:sz w:val="16"/>
          <w:szCs w:val="16"/>
          <w:color w:val="auto"/>
        </w:rPr>
      </w:pPr>
      <w:r>
        <w:rPr>
          <w:rFonts w:ascii="Arial" w:cs="Arial" w:eastAsia="Arial" w:hAnsi="Arial"/>
          <w:sz w:val="16"/>
          <w:szCs w:val="16"/>
          <w:color w:val="auto"/>
        </w:rPr>
        <w:t>The Company has available an unsecured $5,000,000 line of credit from a bank at an interest rate equal to the lower of the bank’s prime rate or 2.25% above the LIBOR rate. No borrowings were outstanding under this line in 2009 or 2008. No compensating balances are required under this line.</w:t>
      </w:r>
    </w:p>
    <w:p>
      <w:pPr>
        <w:spacing w:after="0" w:line="155" w:lineRule="exact"/>
        <w:rPr>
          <w:rFonts w:ascii="Arial" w:cs="Arial" w:eastAsia="Arial" w:hAnsi="Arial"/>
          <w:sz w:val="16"/>
          <w:szCs w:val="16"/>
          <w:color w:val="auto"/>
        </w:rPr>
      </w:pPr>
    </w:p>
    <w:p>
      <w:pPr>
        <w:ind w:left="600" w:hanging="311"/>
        <w:spacing w:after="0"/>
        <w:tabs>
          <w:tab w:leader="none" w:pos="6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INCOME TAXES</w:t>
      </w:r>
    </w:p>
    <w:p>
      <w:pPr>
        <w:spacing w:after="0" w:line="156" w:lineRule="exact"/>
        <w:rPr>
          <w:rFonts w:ascii="Arial" w:cs="Arial" w:eastAsia="Arial" w:hAnsi="Arial"/>
          <w:sz w:val="16"/>
          <w:szCs w:val="16"/>
          <w:color w:val="auto"/>
        </w:rPr>
      </w:pPr>
    </w:p>
    <w:p>
      <w:pPr>
        <w:ind w:left="600" w:right="1579"/>
        <w:spacing w:after="0" w:line="242" w:lineRule="auto"/>
        <w:rPr>
          <w:rFonts w:ascii="Arial" w:cs="Arial" w:eastAsia="Arial" w:hAnsi="Arial"/>
          <w:sz w:val="16"/>
          <w:szCs w:val="16"/>
          <w:color w:val="auto"/>
        </w:rPr>
      </w:pPr>
      <w:r>
        <w:rPr>
          <w:rFonts w:ascii="Arial" w:cs="Arial" w:eastAsia="Arial" w:hAnsi="Arial"/>
          <w:sz w:val="16"/>
          <w:szCs w:val="16"/>
          <w:color w:val="auto"/>
        </w:rPr>
        <w:t>Effective January 1, 2007, the Company adopted the provisions of the Financial Accounting Standards Codification 740 (“ASC 740”), “Accounting for Uncertainty in Income Taxes.” The implementation of ASC 740 did not have a significant impact on the Company’s financial position or results of operations. A reconciliation of the beginning and ending amount of unrecognized tax benefits is as follows:</w:t>
      </w:r>
    </w:p>
    <w:p>
      <w:pPr>
        <w:spacing w:after="0" w:line="168"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7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at January 1, 2009</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$ 2,435,000</w:t>
            </w:r>
          </w:p>
        </w:tc>
        <w:tc>
          <w:tcPr>
            <w:tcW w:w="60" w:type="dxa"/>
            <w:vAlign w:val="bottom"/>
            <w:shd w:val="clear" w:color="auto" w:fill="CCEEFF"/>
          </w:tcPr>
          <w:p>
            <w:pPr>
              <w:spacing w:after="0"/>
              <w:rPr>
                <w:sz w:val="16"/>
                <w:szCs w:val="16"/>
                <w:color w:val="auto"/>
              </w:rPr>
            </w:pPr>
          </w:p>
        </w:tc>
      </w:tr>
      <w:tr>
        <w:trPr>
          <w:trHeight w:val="182"/>
        </w:trPr>
        <w:tc>
          <w:tcPr>
            <w:tcW w:w="7480" w:type="dxa"/>
            <w:vAlign w:val="bottom"/>
          </w:tcPr>
          <w:p>
            <w:pPr>
              <w:ind w:left="20"/>
              <w:spacing w:after="0" w:line="182" w:lineRule="exact"/>
              <w:rPr>
                <w:sz w:val="20"/>
                <w:szCs w:val="20"/>
                <w:color w:val="auto"/>
              </w:rPr>
            </w:pPr>
            <w:r>
              <w:rPr>
                <w:rFonts w:ascii="Arial" w:cs="Arial" w:eastAsia="Arial" w:hAnsi="Arial"/>
                <w:sz w:val="16"/>
                <w:szCs w:val="16"/>
                <w:color w:val="auto"/>
              </w:rPr>
              <w:t>Additions based on tax positions related to the current year</w:t>
            </w:r>
          </w:p>
        </w:tc>
        <w:tc>
          <w:tcPr>
            <w:tcW w:w="860" w:type="dxa"/>
            <w:vAlign w:val="bottom"/>
          </w:tcPr>
          <w:p>
            <w:pPr>
              <w:jc w:val="right"/>
              <w:spacing w:after="0" w:line="182" w:lineRule="exact"/>
              <w:rPr>
                <w:sz w:val="20"/>
                <w:szCs w:val="20"/>
                <w:color w:val="auto"/>
              </w:rPr>
            </w:pPr>
            <w:r>
              <w:rPr>
                <w:rFonts w:ascii="Arial" w:cs="Arial" w:eastAsia="Arial" w:hAnsi="Arial"/>
                <w:sz w:val="16"/>
                <w:szCs w:val="16"/>
                <w:color w:val="auto"/>
              </w:rPr>
              <w:t>465,000</w:t>
            </w:r>
          </w:p>
        </w:tc>
        <w:tc>
          <w:tcPr>
            <w:tcW w:w="60" w:type="dxa"/>
            <w:vAlign w:val="bottom"/>
          </w:tcPr>
          <w:p>
            <w:pPr>
              <w:spacing w:after="0"/>
              <w:rPr>
                <w:sz w:val="15"/>
                <w:szCs w:val="15"/>
                <w:color w:val="auto"/>
              </w:rPr>
            </w:pPr>
          </w:p>
        </w:tc>
      </w:tr>
      <w:tr>
        <w:trPr>
          <w:trHeight w:val="182"/>
        </w:trPr>
        <w:tc>
          <w:tcPr>
            <w:tcW w:w="74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Additions for tax positions in prior years</w:t>
            </w:r>
          </w:p>
        </w:tc>
        <w:tc>
          <w:tcPr>
            <w:tcW w:w="8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143,000</w:t>
            </w:r>
          </w:p>
        </w:tc>
        <w:tc>
          <w:tcPr>
            <w:tcW w:w="60" w:type="dxa"/>
            <w:vAlign w:val="bottom"/>
            <w:shd w:val="clear" w:color="auto" w:fill="CCEEFF"/>
          </w:tcPr>
          <w:p>
            <w:pPr>
              <w:spacing w:after="0"/>
              <w:rPr>
                <w:sz w:val="15"/>
                <w:szCs w:val="15"/>
                <w:color w:val="auto"/>
              </w:rPr>
            </w:pPr>
          </w:p>
        </w:tc>
      </w:tr>
      <w:tr>
        <w:trPr>
          <w:trHeight w:val="182"/>
        </w:trPr>
        <w:tc>
          <w:tcPr>
            <w:tcW w:w="7480" w:type="dxa"/>
            <w:vAlign w:val="bottom"/>
          </w:tcPr>
          <w:p>
            <w:pPr>
              <w:ind w:left="20"/>
              <w:spacing w:after="0" w:line="182" w:lineRule="exact"/>
              <w:rPr>
                <w:sz w:val="20"/>
                <w:szCs w:val="20"/>
                <w:color w:val="auto"/>
              </w:rPr>
            </w:pPr>
            <w:r>
              <w:rPr>
                <w:rFonts w:ascii="Arial" w:cs="Arial" w:eastAsia="Arial" w:hAnsi="Arial"/>
                <w:sz w:val="16"/>
                <w:szCs w:val="16"/>
                <w:color w:val="auto"/>
              </w:rPr>
              <w:t>Reductions for tax positions in prior years</w:t>
            </w:r>
          </w:p>
        </w:tc>
        <w:tc>
          <w:tcPr>
            <w:tcW w:w="920" w:type="dxa"/>
            <w:vAlign w:val="bottom"/>
            <w:gridSpan w:val="2"/>
          </w:tcPr>
          <w:p>
            <w:pPr>
              <w:jc w:val="right"/>
              <w:ind w:right="20"/>
              <w:spacing w:after="0" w:line="182" w:lineRule="exact"/>
              <w:rPr>
                <w:sz w:val="20"/>
                <w:szCs w:val="20"/>
                <w:color w:val="auto"/>
              </w:rPr>
            </w:pPr>
            <w:r>
              <w:rPr>
                <w:rFonts w:ascii="Arial" w:cs="Arial" w:eastAsia="Arial" w:hAnsi="Arial"/>
                <w:sz w:val="16"/>
                <w:szCs w:val="16"/>
                <w:color w:val="auto"/>
              </w:rPr>
              <w:t>(0)</w:t>
            </w:r>
          </w:p>
        </w:tc>
      </w:tr>
      <w:tr>
        <w:trPr>
          <w:trHeight w:val="182"/>
        </w:trPr>
        <w:tc>
          <w:tcPr>
            <w:tcW w:w="74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Reductions as a result of a lapse of the applicable statute of limitations</w:t>
            </w:r>
          </w:p>
        </w:tc>
        <w:tc>
          <w:tcPr>
            <w:tcW w:w="92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(632,000)</w:t>
            </w:r>
          </w:p>
        </w:tc>
      </w:tr>
      <w:tr>
        <w:trPr>
          <w:trHeight w:val="187"/>
        </w:trPr>
        <w:tc>
          <w:tcPr>
            <w:tcW w:w="7480" w:type="dxa"/>
            <w:vAlign w:val="bottom"/>
          </w:tcPr>
          <w:p>
            <w:pPr>
              <w:ind w:left="20"/>
              <w:spacing w:after="0"/>
              <w:rPr>
                <w:sz w:val="20"/>
                <w:szCs w:val="20"/>
                <w:color w:val="auto"/>
              </w:rPr>
            </w:pPr>
            <w:r>
              <w:rPr>
                <w:rFonts w:ascii="Arial" w:cs="Arial" w:eastAsia="Arial" w:hAnsi="Arial"/>
                <w:sz w:val="16"/>
                <w:szCs w:val="16"/>
                <w:color w:val="auto"/>
              </w:rPr>
              <w:t>Balance at December 31, 2009</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99"/>
              </w:rPr>
              <w:t>$ 2,411,000</w:t>
            </w:r>
          </w:p>
        </w:tc>
        <w:tc>
          <w:tcPr>
            <w:tcW w:w="60" w:type="dxa"/>
            <w:vAlign w:val="bottom"/>
          </w:tcPr>
          <w:p>
            <w:pPr>
              <w:spacing w:after="0"/>
              <w:rPr>
                <w:sz w:val="16"/>
                <w:szCs w:val="16"/>
                <w:color w:val="auto"/>
              </w:rPr>
            </w:pPr>
          </w:p>
        </w:tc>
      </w:tr>
      <w:tr>
        <w:trPr>
          <w:trHeight w:val="20"/>
        </w:trPr>
        <w:tc>
          <w:tcPr>
            <w:tcW w:w="74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9" w:lineRule="exact"/>
        <w:rPr>
          <w:sz w:val="20"/>
          <w:szCs w:val="20"/>
          <w:color w:val="auto"/>
        </w:rPr>
      </w:pPr>
    </w:p>
    <w:p>
      <w:pPr>
        <w:ind w:left="600"/>
        <w:spacing w:after="0"/>
        <w:rPr>
          <w:sz w:val="20"/>
          <w:szCs w:val="20"/>
          <w:color w:val="auto"/>
        </w:rPr>
      </w:pPr>
      <w:r>
        <w:rPr>
          <w:rFonts w:ascii="Arial" w:cs="Arial" w:eastAsia="Arial" w:hAnsi="Arial"/>
          <w:sz w:val="16"/>
          <w:szCs w:val="16"/>
          <w:color w:val="auto"/>
        </w:rPr>
        <w:t>If recognized, unrecognized tax benefits would affect the effective tax rate.</w:t>
      </w:r>
    </w:p>
    <w:p>
      <w:pPr>
        <w:spacing w:after="0" w:line="168" w:lineRule="exact"/>
        <w:rPr>
          <w:sz w:val="20"/>
          <w:szCs w:val="20"/>
          <w:color w:val="auto"/>
        </w:rPr>
      </w:pPr>
    </w:p>
    <w:p>
      <w:pPr>
        <w:ind w:left="600" w:right="1539"/>
        <w:spacing w:after="0" w:line="244" w:lineRule="auto"/>
        <w:rPr>
          <w:sz w:val="20"/>
          <w:szCs w:val="20"/>
          <w:color w:val="auto"/>
        </w:rPr>
      </w:pPr>
      <w:r>
        <w:rPr>
          <w:rFonts w:ascii="Arial" w:cs="Arial" w:eastAsia="Arial" w:hAnsi="Arial"/>
          <w:sz w:val="16"/>
          <w:szCs w:val="16"/>
          <w:color w:val="auto"/>
        </w:rPr>
        <w:t>The Company recognizes interest and penalties related to unrecognized tax benefits through the provision for income taxes. The Company has accrued approximately $298,000 and $318,000 for interest as of December 31, 2009 and 2008, respectively. Interest recorded during 2009, 2008 and 2007 was not considered significant.</w:t>
      </w:r>
    </w:p>
    <w:p>
      <w:pPr>
        <w:spacing w:after="0" w:line="144" w:lineRule="exact"/>
        <w:rPr>
          <w:sz w:val="20"/>
          <w:szCs w:val="20"/>
          <w:color w:val="auto"/>
        </w:rPr>
      </w:pPr>
    </w:p>
    <w:p>
      <w:pPr>
        <w:ind w:left="600" w:right="1559"/>
        <w:spacing w:after="0" w:line="242" w:lineRule="auto"/>
        <w:rPr>
          <w:sz w:val="20"/>
          <w:szCs w:val="20"/>
          <w:color w:val="auto"/>
        </w:rPr>
      </w:pPr>
      <w:r>
        <w:rPr>
          <w:rFonts w:ascii="Arial" w:cs="Arial" w:eastAsia="Arial" w:hAnsi="Arial"/>
          <w:sz w:val="16"/>
          <w:szCs w:val="16"/>
          <w:color w:val="auto"/>
        </w:rPr>
        <w:t>The Company is subject to periodic and routine audits in both domestic and foreign tax jurisdictions. It is reasonably possible that the amounts of unrecognized tax benefits could change as a result of an audit. Based on the current audits in process, the payment of taxes as a result of audit settlements are not expected to have a significant impact on the Company’s financial position or results of operations.</w:t>
      </w:r>
    </w:p>
    <w:p>
      <w:pPr>
        <w:spacing w:after="0" w:line="133" w:lineRule="exact"/>
        <w:rPr>
          <w:sz w:val="20"/>
          <w:szCs w:val="20"/>
          <w:color w:val="auto"/>
        </w:rPr>
      </w:pPr>
    </w:p>
    <w:p>
      <w:pPr>
        <w:ind w:left="600" w:right="1839"/>
        <w:spacing w:after="0" w:line="251" w:lineRule="auto"/>
        <w:rPr>
          <w:sz w:val="20"/>
          <w:szCs w:val="20"/>
          <w:color w:val="auto"/>
        </w:rPr>
      </w:pPr>
      <w:r>
        <w:rPr>
          <w:rFonts w:ascii="Arial" w:cs="Arial" w:eastAsia="Arial" w:hAnsi="Arial"/>
          <w:sz w:val="16"/>
          <w:szCs w:val="16"/>
          <w:color w:val="auto"/>
        </w:rPr>
        <w:t>For the majority of tax jurisdictions, the Company is no longer subject to U.S. federal, state and local, or non-U.S. income tax examinations by tax authorities for years before 2006.</w:t>
      </w:r>
    </w:p>
    <w:p>
      <w:pPr>
        <w:spacing w:after="0" w:line="200" w:lineRule="exact"/>
        <w:rPr>
          <w:sz w:val="20"/>
          <w:szCs w:val="20"/>
          <w:color w:val="auto"/>
        </w:rPr>
      </w:pPr>
    </w:p>
    <w:p>
      <w:pPr>
        <w:spacing w:after="0" w:line="290"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2460"/>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17" w:lineRule="exact"/>
        <w:rPr>
          <w:sz w:val="20"/>
          <w:szCs w:val="20"/>
          <w:color w:val="auto"/>
        </w:rPr>
      </w:pPr>
    </w:p>
    <w:p>
      <w:pPr>
        <w:jc w:val="center"/>
        <w:ind w:right="2460"/>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jc w:val="center"/>
        <w:ind w:right="2460"/>
        <w:spacing w:after="0"/>
        <w:rPr>
          <w:sz w:val="20"/>
          <w:szCs w:val="20"/>
          <w:color w:val="auto"/>
        </w:rPr>
      </w:pPr>
      <w:r>
        <w:rPr>
          <w:rFonts w:ascii="Arial" w:cs="Arial" w:eastAsia="Arial" w:hAnsi="Arial"/>
          <w:sz w:val="16"/>
          <w:szCs w:val="16"/>
          <w:b w:val="1"/>
          <w:bCs w:val="1"/>
          <w:color w:val="auto"/>
        </w:rPr>
        <w:t>(Continued)</w:t>
      </w:r>
    </w:p>
    <w:p>
      <w:pPr>
        <w:spacing w:after="0" w:line="168" w:lineRule="exact"/>
        <w:rPr>
          <w:sz w:val="20"/>
          <w:szCs w:val="20"/>
          <w:color w:val="auto"/>
        </w:rPr>
      </w:pPr>
    </w:p>
    <w:p>
      <w:pPr>
        <w:ind w:left="600" w:hanging="311"/>
        <w:spacing w:after="0"/>
        <w:tabs>
          <w:tab w:leader="none" w:pos="6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INCOME TAXES, continued</w:t>
      </w:r>
    </w:p>
    <w:p>
      <w:pPr>
        <w:spacing w:after="0" w:line="156" w:lineRule="exact"/>
        <w:rPr>
          <w:rFonts w:ascii="Arial" w:cs="Arial" w:eastAsia="Arial" w:hAnsi="Arial"/>
          <w:sz w:val="16"/>
          <w:szCs w:val="16"/>
          <w:color w:val="auto"/>
        </w:rPr>
      </w:pPr>
    </w:p>
    <w:p>
      <w:pPr>
        <w:ind w:left="600" w:right="2840"/>
        <w:spacing w:after="0"/>
        <w:rPr>
          <w:rFonts w:ascii="Arial" w:cs="Arial" w:eastAsia="Arial" w:hAnsi="Arial"/>
          <w:sz w:val="16"/>
          <w:szCs w:val="16"/>
          <w:color w:val="auto"/>
        </w:rPr>
      </w:pPr>
      <w:r>
        <w:rPr>
          <w:rFonts w:ascii="Arial" w:cs="Arial" w:eastAsia="Arial" w:hAnsi="Arial"/>
          <w:sz w:val="16"/>
          <w:szCs w:val="16"/>
          <w:color w:val="auto"/>
        </w:rPr>
        <w:t>The provision for income taxes is based on the earnings reported in the accompanying consolidated financial statements. The Company recognizes deferred income tax liabilities and assets for the expected future tax consequences of events that have been included in the consolidated financial statements or tax returns. Under this method, deferred income tax liabilities and assets are determined based on the cumulative temporary differences between the financial statement and tax bases of assets and liabilities using enacted tax rates. Deferred income tax expense is measured by the net change in deferred income tax assets and liabilities during the year.</w:t>
      </w:r>
    </w:p>
    <w:p>
      <w:pPr>
        <w:spacing w:after="0" w:line="145"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The components of the provision for income taxes are as follows:</w:t>
      </w:r>
    </w:p>
    <w:p>
      <w:pPr>
        <w:spacing w:after="0" w:line="180"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2009</w:t>
            </w:r>
          </w:p>
        </w:tc>
        <w:tc>
          <w:tcPr>
            <w:tcW w:w="320" w:type="dxa"/>
            <w:vAlign w:val="bottom"/>
          </w:tcPr>
          <w:p>
            <w:pPr>
              <w:spacing w:after="0"/>
              <w:rPr>
                <w:sz w:val="16"/>
                <w:szCs w:val="16"/>
                <w:color w:val="auto"/>
              </w:rPr>
            </w:pPr>
          </w:p>
        </w:tc>
        <w:tc>
          <w:tcPr>
            <w:tcW w:w="9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2008</w:t>
            </w:r>
          </w:p>
        </w:tc>
        <w:tc>
          <w:tcPr>
            <w:tcW w:w="320" w:type="dxa"/>
            <w:vAlign w:val="bottom"/>
          </w:tcPr>
          <w:p>
            <w:pPr>
              <w:spacing w:after="0"/>
              <w:rPr>
                <w:sz w:val="16"/>
                <w:szCs w:val="16"/>
                <w:color w:val="auto"/>
              </w:rPr>
            </w:pPr>
          </w:p>
        </w:tc>
        <w:tc>
          <w:tcPr>
            <w:tcW w:w="9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2007</w:t>
            </w:r>
          </w:p>
        </w:tc>
        <w:tc>
          <w:tcPr>
            <w:tcW w:w="60" w:type="dxa"/>
            <w:vAlign w:val="bottom"/>
          </w:tcPr>
          <w:p>
            <w:pPr>
              <w:spacing w:after="0"/>
              <w:rPr>
                <w:sz w:val="16"/>
                <w:szCs w:val="16"/>
                <w:color w:val="auto"/>
              </w:rPr>
            </w:pPr>
          </w:p>
        </w:tc>
      </w:tr>
      <w:tr>
        <w:trPr>
          <w:trHeight w:val="174"/>
        </w:trPr>
        <w:tc>
          <w:tcPr>
            <w:tcW w:w="4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Currently payable:</w:t>
            </w: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2"/>
        </w:trPr>
        <w:tc>
          <w:tcPr>
            <w:tcW w:w="4960" w:type="dxa"/>
            <w:vAlign w:val="bottom"/>
          </w:tcPr>
          <w:p>
            <w:pPr>
              <w:ind w:left="200"/>
              <w:spacing w:after="0" w:line="182" w:lineRule="exact"/>
              <w:rPr>
                <w:sz w:val="20"/>
                <w:szCs w:val="20"/>
                <w:color w:val="auto"/>
              </w:rPr>
            </w:pPr>
            <w:r>
              <w:rPr>
                <w:rFonts w:ascii="Arial" w:cs="Arial" w:eastAsia="Arial" w:hAnsi="Arial"/>
                <w:sz w:val="16"/>
                <w:szCs w:val="16"/>
                <w:color w:val="auto"/>
              </w:rPr>
              <w:t>Federal</w:t>
            </w: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$31,377,218</w:t>
            </w:r>
          </w:p>
        </w:tc>
        <w:tc>
          <w:tcPr>
            <w:tcW w:w="320" w:type="dxa"/>
            <w:vAlign w:val="bottom"/>
          </w:tcPr>
          <w:p>
            <w:pPr>
              <w:spacing w:after="0"/>
              <w:rPr>
                <w:sz w:val="15"/>
                <w:szCs w:val="15"/>
                <w:color w:val="auto"/>
              </w:rPr>
            </w:pPr>
          </w:p>
        </w:tc>
        <w:tc>
          <w:tcPr>
            <w:tcW w:w="122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w w:val="98"/>
              </w:rPr>
              <w:t>$29,343,914</w:t>
            </w:r>
          </w:p>
        </w:tc>
        <w:tc>
          <w:tcPr>
            <w:tcW w:w="9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$59,555,747</w:t>
            </w:r>
          </w:p>
        </w:tc>
      </w:tr>
      <w:tr>
        <w:trPr>
          <w:trHeight w:val="182"/>
        </w:trPr>
        <w:tc>
          <w:tcPr>
            <w:tcW w:w="496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State</w:t>
            </w: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896,000</w:t>
            </w: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1,178,000</w:t>
            </w: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309,000</w:t>
            </w:r>
          </w:p>
        </w:tc>
      </w:tr>
      <w:tr>
        <w:trPr>
          <w:trHeight w:val="182"/>
        </w:trPr>
        <w:tc>
          <w:tcPr>
            <w:tcW w:w="4960" w:type="dxa"/>
            <w:vAlign w:val="bottom"/>
          </w:tcPr>
          <w:p>
            <w:pPr>
              <w:ind w:left="200"/>
              <w:spacing w:after="0" w:line="182" w:lineRule="exact"/>
              <w:rPr>
                <w:sz w:val="20"/>
                <w:szCs w:val="20"/>
                <w:color w:val="auto"/>
              </w:rPr>
            </w:pPr>
            <w:r>
              <w:rPr>
                <w:rFonts w:ascii="Arial" w:cs="Arial" w:eastAsia="Arial" w:hAnsi="Arial"/>
                <w:sz w:val="16"/>
                <w:szCs w:val="16"/>
                <w:color w:val="auto"/>
              </w:rPr>
              <w:t>Foreign</w:t>
            </w:r>
          </w:p>
        </w:tc>
        <w:tc>
          <w:tcPr>
            <w:tcW w:w="920" w:type="dxa"/>
            <w:vAlign w:val="bottom"/>
          </w:tcPr>
          <w:p>
            <w:pPr>
              <w:jc w:val="right"/>
              <w:spacing w:after="0" w:line="182" w:lineRule="exact"/>
              <w:rPr>
                <w:sz w:val="20"/>
                <w:szCs w:val="20"/>
                <w:color w:val="auto"/>
              </w:rPr>
            </w:pPr>
            <w:r>
              <w:rPr>
                <w:rFonts w:ascii="Arial" w:cs="Arial" w:eastAsia="Arial" w:hAnsi="Arial"/>
                <w:sz w:val="16"/>
                <w:szCs w:val="16"/>
                <w:color w:val="auto"/>
              </w:rPr>
              <w:t>131,000</w:t>
            </w:r>
          </w:p>
        </w:tc>
        <w:tc>
          <w:tcPr>
            <w:tcW w:w="320" w:type="dxa"/>
            <w:vAlign w:val="bottom"/>
          </w:tcPr>
          <w:p>
            <w:pPr>
              <w:spacing w:after="0"/>
              <w:rPr>
                <w:sz w:val="15"/>
                <w:szCs w:val="15"/>
                <w:color w:val="auto"/>
              </w:rPr>
            </w:pPr>
          </w:p>
        </w:tc>
        <w:tc>
          <w:tcPr>
            <w:tcW w:w="122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428,000</w:t>
            </w:r>
          </w:p>
        </w:tc>
        <w:tc>
          <w:tcPr>
            <w:tcW w:w="9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671,000</w:t>
            </w:r>
          </w:p>
        </w:tc>
      </w:tr>
      <w:tr>
        <w:trPr>
          <w:trHeight w:val="24"/>
        </w:trPr>
        <w:tc>
          <w:tcPr>
            <w:tcW w:w="496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496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Total</w:t>
            </w:r>
          </w:p>
        </w:tc>
        <w:tc>
          <w:tcPr>
            <w:tcW w:w="92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32,404,218</w:t>
            </w: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30,949,914</w:t>
            </w: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60,535,747</w:t>
            </w:r>
          </w:p>
        </w:tc>
      </w:tr>
      <w:tr>
        <w:trPr>
          <w:trHeight w:val="187"/>
        </w:trPr>
        <w:tc>
          <w:tcPr>
            <w:tcW w:w="4960" w:type="dxa"/>
            <w:vAlign w:val="bottom"/>
          </w:tcPr>
          <w:p>
            <w:pPr>
              <w:ind w:left="20"/>
              <w:spacing w:after="0"/>
              <w:rPr>
                <w:sz w:val="20"/>
                <w:szCs w:val="20"/>
                <w:color w:val="auto"/>
              </w:rPr>
            </w:pPr>
            <w:r>
              <w:rPr>
                <w:rFonts w:ascii="Arial" w:cs="Arial" w:eastAsia="Arial" w:hAnsi="Arial"/>
                <w:sz w:val="16"/>
                <w:szCs w:val="16"/>
                <w:color w:val="auto"/>
              </w:rPr>
              <w:t>Net deferred:</w:t>
            </w:r>
          </w:p>
        </w:tc>
        <w:tc>
          <w:tcPr>
            <w:tcW w:w="92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496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Primarily federal</w:t>
            </w:r>
          </w:p>
        </w:tc>
        <w:tc>
          <w:tcPr>
            <w:tcW w:w="124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(689,000)</w:t>
            </w:r>
          </w:p>
        </w:tc>
        <w:tc>
          <w:tcPr>
            <w:tcW w:w="122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(843,000)</w:t>
            </w:r>
          </w:p>
        </w:tc>
        <w:tc>
          <w:tcPr>
            <w:tcW w:w="98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(2,927,000)</w:t>
            </w:r>
          </w:p>
        </w:tc>
      </w:tr>
      <w:tr>
        <w:trPr>
          <w:trHeight w:val="20"/>
        </w:trPr>
        <w:tc>
          <w:tcPr>
            <w:tcW w:w="49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7"/>
        </w:trPr>
        <w:tc>
          <w:tcPr>
            <w:tcW w:w="4960" w:type="dxa"/>
            <w:vAlign w:val="bottom"/>
          </w:tcPr>
          <w:p>
            <w:pPr>
              <w:ind w:left="20"/>
              <w:spacing w:after="0"/>
              <w:rPr>
                <w:sz w:val="20"/>
                <w:szCs w:val="20"/>
                <w:color w:val="auto"/>
              </w:rPr>
            </w:pPr>
            <w:r>
              <w:rPr>
                <w:rFonts w:ascii="Arial" w:cs="Arial" w:eastAsia="Arial" w:hAnsi="Arial"/>
                <w:sz w:val="16"/>
                <w:szCs w:val="16"/>
                <w:color w:val="auto"/>
              </w:rPr>
              <w:t>Provision for income taxes</w:t>
            </w:r>
          </w:p>
        </w:tc>
        <w:tc>
          <w:tcPr>
            <w:tcW w:w="920" w:type="dxa"/>
            <w:vAlign w:val="bottom"/>
          </w:tcPr>
          <w:p>
            <w:pPr>
              <w:jc w:val="right"/>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31,715,218</w:t>
            </w:r>
          </w:p>
        </w:tc>
        <w:tc>
          <w:tcPr>
            <w:tcW w:w="32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6"/>
                <w:szCs w:val="16"/>
                <w:u w:val="single" w:color="auto"/>
                <w:color w:val="auto"/>
                <w:w w:val="98"/>
              </w:rPr>
              <w:t>$</w:t>
            </w:r>
            <w:r>
              <w:rPr>
                <w:rFonts w:ascii="Arial" w:cs="Arial" w:eastAsia="Arial" w:hAnsi="Arial"/>
                <w:sz w:val="16"/>
                <w:szCs w:val="16"/>
                <w:color w:val="auto"/>
                <w:w w:val="98"/>
              </w:rPr>
              <w:t>30,106,914</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u w:val="single" w:color="auto"/>
                <w:color w:val="auto"/>
              </w:rPr>
              <w:t>$</w:t>
            </w:r>
            <w:r>
              <w:rPr>
                <w:rFonts w:ascii="Arial" w:cs="Arial" w:eastAsia="Arial" w:hAnsi="Arial"/>
                <w:sz w:val="16"/>
                <w:szCs w:val="16"/>
                <w:color w:val="auto"/>
              </w:rPr>
              <w:t>57,608,747</w:t>
            </w:r>
          </w:p>
        </w:tc>
      </w:tr>
      <w:tr>
        <w:trPr>
          <w:trHeight w:val="20"/>
        </w:trPr>
        <w:tc>
          <w:tcPr>
            <w:tcW w:w="49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1" w:lineRule="exact"/>
        <w:rPr>
          <w:sz w:val="20"/>
          <w:szCs w:val="20"/>
          <w:color w:val="auto"/>
        </w:rPr>
      </w:pPr>
    </w:p>
    <w:p>
      <w:pPr>
        <w:ind w:left="600" w:right="2780"/>
        <w:spacing w:after="0" w:line="244" w:lineRule="auto"/>
        <w:rPr>
          <w:sz w:val="20"/>
          <w:szCs w:val="20"/>
          <w:color w:val="auto"/>
        </w:rPr>
      </w:pPr>
      <w:r>
        <w:rPr>
          <w:rFonts w:ascii="Arial" w:cs="Arial" w:eastAsia="Arial" w:hAnsi="Arial"/>
          <w:sz w:val="16"/>
          <w:szCs w:val="16"/>
          <w:color w:val="auto"/>
        </w:rPr>
        <w:t>In July 2007, the State of Michigan enacted a new business tax that was effective January 1, 2008. The increase in the state income tax provision in 2009 and 2008, compared to 2007, was primarily the result of the new Michigan Business Tax.</w:t>
      </w:r>
    </w:p>
    <w:p>
      <w:pPr>
        <w:spacing w:after="0" w:line="144" w:lineRule="exact"/>
        <w:rPr>
          <w:sz w:val="20"/>
          <w:szCs w:val="20"/>
          <w:color w:val="auto"/>
        </w:rPr>
      </w:pPr>
    </w:p>
    <w:p>
      <w:pPr>
        <w:ind w:left="600" w:right="2860"/>
        <w:spacing w:after="0" w:line="242" w:lineRule="auto"/>
        <w:rPr>
          <w:sz w:val="20"/>
          <w:szCs w:val="20"/>
          <w:color w:val="auto"/>
        </w:rPr>
      </w:pPr>
      <w:r>
        <w:rPr>
          <w:rFonts w:ascii="Arial" w:cs="Arial" w:eastAsia="Arial" w:hAnsi="Arial"/>
          <w:sz w:val="16"/>
          <w:szCs w:val="16"/>
          <w:color w:val="auto"/>
        </w:rPr>
        <w:t>The currently payable provision is further reduced by the tax benefits associated with the exercise, vesting or disposition of stock under the stock plans described in Note 6. These reductions totaled approximately $68,000, $473,000 and $3,839,000 in 2009, 2008 and 2007, respectively, and were recognized as an adjustment of additional paid-in capital.</w:t>
      </w:r>
    </w:p>
    <w:p>
      <w:pPr>
        <w:spacing w:after="0" w:line="14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The effective income tax rates are different from the statutory federal income tax rates for the following reasons: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2009</w:t>
            </w:r>
          </w:p>
        </w:tc>
        <w:tc>
          <w:tcPr>
            <w:tcW w:w="400" w:type="dxa"/>
            <w:vAlign w:val="bottom"/>
          </w:tcPr>
          <w:p>
            <w:pPr>
              <w:spacing w:after="0"/>
              <w:rPr>
                <w:sz w:val="16"/>
                <w:szCs w:val="16"/>
                <w:color w:val="auto"/>
              </w:rPr>
            </w:pPr>
          </w:p>
        </w:tc>
        <w:tc>
          <w:tcPr>
            <w:tcW w:w="8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2008</w:t>
            </w:r>
          </w:p>
        </w:tc>
        <w:tc>
          <w:tcPr>
            <w:tcW w:w="400" w:type="dxa"/>
            <w:vAlign w:val="bottom"/>
          </w:tcPr>
          <w:p>
            <w:pPr>
              <w:spacing w:after="0"/>
              <w:rPr>
                <w:sz w:val="16"/>
                <w:szCs w:val="16"/>
                <w:color w:val="auto"/>
              </w:rPr>
            </w:pPr>
          </w:p>
        </w:tc>
        <w:tc>
          <w:tcPr>
            <w:tcW w:w="8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2007</w:t>
            </w:r>
          </w:p>
        </w:tc>
        <w:tc>
          <w:tcPr>
            <w:tcW w:w="14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80" w:type="dxa"/>
            <w:vAlign w:val="bottom"/>
          </w:tcPr>
          <w:p>
            <w:pPr>
              <w:spacing w:after="0"/>
              <w:rPr>
                <w:sz w:val="15"/>
                <w:szCs w:val="15"/>
                <w:color w:val="auto"/>
              </w:rPr>
            </w:pPr>
          </w:p>
        </w:tc>
        <w:tc>
          <w:tcPr>
            <w:tcW w:w="390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Statutory federal income tax rate</w:t>
            </w:r>
          </w:p>
        </w:tc>
        <w:tc>
          <w:tcPr>
            <w:tcW w:w="2320" w:type="dxa"/>
            <w:vAlign w:val="bottom"/>
            <w:gridSpan w:val="3"/>
            <w:shd w:val="clear" w:color="auto" w:fill="CCEEFF"/>
          </w:tcPr>
          <w:p>
            <w:pPr>
              <w:jc w:val="right"/>
              <w:ind w:right="240"/>
              <w:spacing w:after="0" w:line="175" w:lineRule="exact"/>
              <w:rPr>
                <w:sz w:val="20"/>
                <w:szCs w:val="20"/>
                <w:color w:val="auto"/>
              </w:rPr>
            </w:pPr>
            <w:r>
              <w:rPr>
                <w:rFonts w:ascii="Arial" w:cs="Arial" w:eastAsia="Arial" w:hAnsi="Arial"/>
                <w:sz w:val="16"/>
                <w:szCs w:val="16"/>
                <w:color w:val="auto"/>
              </w:rPr>
              <w:t>35.0%</w:t>
            </w:r>
          </w:p>
        </w:tc>
        <w:tc>
          <w:tcPr>
            <w:tcW w:w="1220" w:type="dxa"/>
            <w:vAlign w:val="bottom"/>
            <w:gridSpan w:val="2"/>
            <w:shd w:val="clear" w:color="auto" w:fill="CCEEFF"/>
          </w:tcPr>
          <w:p>
            <w:pPr>
              <w:jc w:val="right"/>
              <w:ind w:right="260"/>
              <w:spacing w:after="0" w:line="175" w:lineRule="exact"/>
              <w:rPr>
                <w:sz w:val="20"/>
                <w:szCs w:val="20"/>
                <w:color w:val="auto"/>
              </w:rPr>
            </w:pPr>
            <w:r>
              <w:rPr>
                <w:rFonts w:ascii="Arial" w:cs="Arial" w:eastAsia="Arial" w:hAnsi="Arial"/>
                <w:sz w:val="16"/>
                <w:szCs w:val="16"/>
                <w:color w:val="auto"/>
              </w:rPr>
              <w:t>35.0%</w:t>
            </w:r>
          </w:p>
        </w:tc>
        <w:tc>
          <w:tcPr>
            <w:tcW w:w="96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35.0%</w:t>
            </w: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3900" w:type="dxa"/>
            <w:vAlign w:val="bottom"/>
          </w:tcPr>
          <w:p>
            <w:pPr>
              <w:ind w:left="20"/>
              <w:spacing w:after="0" w:line="182" w:lineRule="exact"/>
              <w:rPr>
                <w:sz w:val="20"/>
                <w:szCs w:val="20"/>
                <w:color w:val="auto"/>
              </w:rPr>
            </w:pPr>
            <w:r>
              <w:rPr>
                <w:rFonts w:ascii="Arial" w:cs="Arial" w:eastAsia="Arial" w:hAnsi="Arial"/>
                <w:sz w:val="16"/>
                <w:szCs w:val="16"/>
                <w:color w:val="auto"/>
              </w:rPr>
              <w:t>State income taxes, net of federal income tax benefit</w:t>
            </w:r>
          </w:p>
        </w:tc>
        <w:tc>
          <w:tcPr>
            <w:tcW w:w="2320" w:type="dxa"/>
            <w:vAlign w:val="bottom"/>
            <w:gridSpan w:val="3"/>
          </w:tcPr>
          <w:p>
            <w:pPr>
              <w:jc w:val="right"/>
              <w:ind w:right="380"/>
              <w:spacing w:after="0" w:line="182" w:lineRule="exact"/>
              <w:rPr>
                <w:sz w:val="20"/>
                <w:szCs w:val="20"/>
                <w:color w:val="auto"/>
              </w:rPr>
            </w:pPr>
            <w:r>
              <w:rPr>
                <w:rFonts w:ascii="Arial" w:cs="Arial" w:eastAsia="Arial" w:hAnsi="Arial"/>
                <w:sz w:val="16"/>
                <w:szCs w:val="16"/>
                <w:color w:val="auto"/>
              </w:rPr>
              <w:t>0.3</w:t>
            </w:r>
          </w:p>
        </w:tc>
        <w:tc>
          <w:tcPr>
            <w:tcW w:w="1220" w:type="dxa"/>
            <w:vAlign w:val="bottom"/>
            <w:gridSpan w:val="2"/>
          </w:tcPr>
          <w:p>
            <w:pPr>
              <w:jc w:val="right"/>
              <w:ind w:right="400"/>
              <w:spacing w:after="0" w:line="182" w:lineRule="exact"/>
              <w:rPr>
                <w:sz w:val="20"/>
                <w:szCs w:val="20"/>
                <w:color w:val="auto"/>
              </w:rPr>
            </w:pPr>
            <w:r>
              <w:rPr>
                <w:rFonts w:ascii="Arial" w:cs="Arial" w:eastAsia="Arial" w:hAnsi="Arial"/>
                <w:sz w:val="16"/>
                <w:szCs w:val="16"/>
                <w:color w:val="auto"/>
              </w:rPr>
              <w:t>0.4</w:t>
            </w:r>
          </w:p>
        </w:tc>
        <w:tc>
          <w:tcPr>
            <w:tcW w:w="96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0.1</w:t>
            </w: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39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Domestic production exclusion</w:t>
            </w:r>
          </w:p>
        </w:tc>
        <w:tc>
          <w:tcPr>
            <w:tcW w:w="2320" w:type="dxa"/>
            <w:vAlign w:val="bottom"/>
            <w:gridSpan w:val="3"/>
            <w:shd w:val="clear" w:color="auto" w:fill="CCEEFF"/>
          </w:tcPr>
          <w:p>
            <w:pPr>
              <w:jc w:val="right"/>
              <w:ind w:right="340"/>
              <w:spacing w:after="0" w:line="182" w:lineRule="exact"/>
              <w:rPr>
                <w:sz w:val="20"/>
                <w:szCs w:val="20"/>
                <w:color w:val="auto"/>
              </w:rPr>
            </w:pPr>
            <w:r>
              <w:rPr>
                <w:rFonts w:ascii="Arial" w:cs="Arial" w:eastAsia="Arial" w:hAnsi="Arial"/>
                <w:sz w:val="16"/>
                <w:szCs w:val="16"/>
                <w:color w:val="auto"/>
              </w:rPr>
              <w:t>(2.0)</w:t>
            </w:r>
          </w:p>
        </w:tc>
        <w:tc>
          <w:tcPr>
            <w:tcW w:w="1220" w:type="dxa"/>
            <w:vAlign w:val="bottom"/>
            <w:gridSpan w:val="2"/>
            <w:shd w:val="clear" w:color="auto" w:fill="CCEEFF"/>
          </w:tcPr>
          <w:p>
            <w:pPr>
              <w:jc w:val="right"/>
              <w:ind w:right="340"/>
              <w:spacing w:after="0" w:line="182" w:lineRule="exact"/>
              <w:rPr>
                <w:sz w:val="20"/>
                <w:szCs w:val="20"/>
                <w:color w:val="auto"/>
              </w:rPr>
            </w:pPr>
            <w:r>
              <w:rPr>
                <w:rFonts w:ascii="Arial" w:cs="Arial" w:eastAsia="Arial" w:hAnsi="Arial"/>
                <w:sz w:val="16"/>
                <w:szCs w:val="16"/>
                <w:color w:val="auto"/>
              </w:rPr>
              <w:t>(1.8)</w:t>
            </w:r>
          </w:p>
        </w:tc>
        <w:tc>
          <w:tcPr>
            <w:tcW w:w="96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(1.9)</w:t>
            </w: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3900" w:type="dxa"/>
            <w:vAlign w:val="bottom"/>
          </w:tcPr>
          <w:p>
            <w:pPr>
              <w:ind w:left="20"/>
              <w:spacing w:after="0" w:line="182" w:lineRule="exact"/>
              <w:rPr>
                <w:sz w:val="20"/>
                <w:szCs w:val="20"/>
                <w:color w:val="auto"/>
              </w:rPr>
            </w:pPr>
            <w:r>
              <w:rPr>
                <w:rFonts w:ascii="Arial" w:cs="Arial" w:eastAsia="Arial" w:hAnsi="Arial"/>
                <w:sz w:val="16"/>
                <w:szCs w:val="16"/>
                <w:color w:val="auto"/>
              </w:rPr>
              <w:t>Tax-exempt investment income</w:t>
            </w:r>
          </w:p>
        </w:tc>
        <w:tc>
          <w:tcPr>
            <w:tcW w:w="2320" w:type="dxa"/>
            <w:vAlign w:val="bottom"/>
            <w:gridSpan w:val="3"/>
          </w:tcPr>
          <w:p>
            <w:pPr>
              <w:jc w:val="right"/>
              <w:ind w:right="340"/>
              <w:spacing w:after="0" w:line="182" w:lineRule="exact"/>
              <w:rPr>
                <w:sz w:val="20"/>
                <w:szCs w:val="20"/>
                <w:color w:val="auto"/>
              </w:rPr>
            </w:pPr>
            <w:r>
              <w:rPr>
                <w:rFonts w:ascii="Arial" w:cs="Arial" w:eastAsia="Arial" w:hAnsi="Arial"/>
                <w:sz w:val="16"/>
                <w:szCs w:val="16"/>
                <w:color w:val="auto"/>
              </w:rPr>
              <w:t>(0.1)</w:t>
            </w:r>
          </w:p>
        </w:tc>
        <w:tc>
          <w:tcPr>
            <w:tcW w:w="1220" w:type="dxa"/>
            <w:vAlign w:val="bottom"/>
            <w:gridSpan w:val="2"/>
          </w:tcPr>
          <w:p>
            <w:pPr>
              <w:jc w:val="right"/>
              <w:ind w:right="340"/>
              <w:spacing w:after="0" w:line="182" w:lineRule="exact"/>
              <w:rPr>
                <w:sz w:val="20"/>
                <w:szCs w:val="20"/>
                <w:color w:val="auto"/>
              </w:rPr>
            </w:pPr>
            <w:r>
              <w:rPr>
                <w:rFonts w:ascii="Arial" w:cs="Arial" w:eastAsia="Arial" w:hAnsi="Arial"/>
                <w:sz w:val="16"/>
                <w:szCs w:val="16"/>
                <w:color w:val="auto"/>
              </w:rPr>
              <w:t>(0.6)</w:t>
            </w:r>
          </w:p>
        </w:tc>
        <w:tc>
          <w:tcPr>
            <w:tcW w:w="960" w:type="dxa"/>
            <w:vAlign w:val="bottom"/>
            <w:gridSpan w:val="2"/>
          </w:tcPr>
          <w:p>
            <w:pPr>
              <w:jc w:val="right"/>
              <w:ind w:right="80"/>
              <w:spacing w:after="0" w:line="182" w:lineRule="exact"/>
              <w:rPr>
                <w:sz w:val="20"/>
                <w:szCs w:val="20"/>
                <w:color w:val="auto"/>
              </w:rPr>
            </w:pPr>
            <w:r>
              <w:rPr>
                <w:rFonts w:ascii="Arial" w:cs="Arial" w:eastAsia="Arial" w:hAnsi="Arial"/>
                <w:sz w:val="16"/>
                <w:szCs w:val="16"/>
                <w:color w:val="auto"/>
              </w:rPr>
              <w:t>(0.4)</w:t>
            </w: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80" w:type="dxa"/>
            <w:vAlign w:val="bottom"/>
          </w:tcPr>
          <w:p>
            <w:pPr>
              <w:spacing w:after="0"/>
              <w:rPr>
                <w:sz w:val="15"/>
                <w:szCs w:val="15"/>
                <w:color w:val="auto"/>
              </w:rPr>
            </w:pPr>
          </w:p>
        </w:tc>
        <w:tc>
          <w:tcPr>
            <w:tcW w:w="39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Other</w:t>
            </w:r>
          </w:p>
        </w:tc>
        <w:tc>
          <w:tcPr>
            <w:tcW w:w="1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40"/>
              <w:spacing w:after="0" w:line="182" w:lineRule="exact"/>
              <w:rPr>
                <w:sz w:val="20"/>
                <w:szCs w:val="20"/>
                <w:color w:val="auto"/>
              </w:rPr>
            </w:pPr>
            <w:r>
              <w:rPr>
                <w:rFonts w:ascii="Arial" w:cs="Arial" w:eastAsia="Arial" w:hAnsi="Arial"/>
                <w:sz w:val="16"/>
                <w:szCs w:val="16"/>
                <w:color w:val="auto"/>
              </w:rPr>
              <w:t>(0.3)</w:t>
            </w:r>
          </w:p>
        </w:tc>
        <w:tc>
          <w:tcPr>
            <w:tcW w:w="1220" w:type="dxa"/>
            <w:vAlign w:val="bottom"/>
            <w:gridSpan w:val="2"/>
            <w:shd w:val="clear" w:color="auto" w:fill="CCEEFF"/>
          </w:tcPr>
          <w:p>
            <w:pPr>
              <w:jc w:val="right"/>
              <w:ind w:right="340"/>
              <w:spacing w:after="0" w:line="182" w:lineRule="exact"/>
              <w:rPr>
                <w:sz w:val="20"/>
                <w:szCs w:val="20"/>
                <w:color w:val="auto"/>
              </w:rPr>
            </w:pPr>
            <w:r>
              <w:rPr>
                <w:rFonts w:ascii="Arial" w:cs="Arial" w:eastAsia="Arial" w:hAnsi="Arial"/>
                <w:sz w:val="16"/>
                <w:szCs w:val="16"/>
                <w:color w:val="auto"/>
              </w:rPr>
              <w:t>(0.3)</w:t>
            </w:r>
          </w:p>
        </w:tc>
        <w:tc>
          <w:tcPr>
            <w:tcW w:w="960" w:type="dxa"/>
            <w:vAlign w:val="bottom"/>
            <w:gridSpan w:val="2"/>
            <w:shd w:val="clear" w:color="auto" w:fill="CCEEFF"/>
          </w:tcPr>
          <w:p>
            <w:pPr>
              <w:jc w:val="right"/>
              <w:ind w:right="80"/>
              <w:spacing w:after="0" w:line="182" w:lineRule="exact"/>
              <w:rPr>
                <w:sz w:val="20"/>
                <w:szCs w:val="20"/>
                <w:color w:val="auto"/>
              </w:rPr>
            </w:pPr>
            <w:r>
              <w:rPr>
                <w:rFonts w:ascii="Arial" w:cs="Arial" w:eastAsia="Arial" w:hAnsi="Arial"/>
                <w:sz w:val="16"/>
                <w:szCs w:val="16"/>
                <w:color w:val="auto"/>
              </w:rPr>
              <w:t>(0.7)</w:t>
            </w:r>
          </w:p>
        </w:tc>
        <w:tc>
          <w:tcPr>
            <w:tcW w:w="2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80" w:type="dxa"/>
            <w:vAlign w:val="bottom"/>
          </w:tcPr>
          <w:p>
            <w:pPr>
              <w:spacing w:after="0"/>
              <w:rPr>
                <w:sz w:val="16"/>
                <w:szCs w:val="16"/>
                <w:color w:val="auto"/>
              </w:rPr>
            </w:pPr>
          </w:p>
        </w:tc>
        <w:tc>
          <w:tcPr>
            <w:tcW w:w="390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1100" w:type="dxa"/>
            <w:vAlign w:val="bottom"/>
          </w:tcPr>
          <w:p>
            <w:pPr>
              <w:spacing w:after="0"/>
              <w:rPr>
                <w:sz w:val="16"/>
                <w:szCs w:val="16"/>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32.9%</w:t>
            </w:r>
          </w:p>
        </w:tc>
        <w:tc>
          <w:tcPr>
            <w:tcW w:w="1220" w:type="dxa"/>
            <w:vAlign w:val="bottom"/>
            <w:gridSpan w:val="2"/>
          </w:tcPr>
          <w:p>
            <w:pPr>
              <w:jc w:val="right"/>
              <w:ind w:right="260"/>
              <w:spacing w:after="0"/>
              <w:rPr>
                <w:sz w:val="20"/>
                <w:szCs w:val="20"/>
                <w:color w:val="auto"/>
              </w:rPr>
            </w:pPr>
            <w:r>
              <w:rPr>
                <w:rFonts w:ascii="Arial" w:cs="Arial" w:eastAsia="Arial" w:hAnsi="Arial"/>
                <w:sz w:val="16"/>
                <w:szCs w:val="16"/>
                <w:color w:val="auto"/>
              </w:rPr>
              <w:t>32.7%</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32.1%</w:t>
            </w:r>
          </w:p>
        </w:tc>
        <w:tc>
          <w:tcPr>
            <w:tcW w:w="2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100" w:type="dxa"/>
            <w:vAlign w:val="bottom"/>
            <w:vMerge w:val="restart"/>
          </w:tcPr>
          <w:p>
            <w:pPr>
              <w:jc w:val="right"/>
              <w:ind w:right="519"/>
              <w:spacing w:after="0"/>
              <w:rPr>
                <w:sz w:val="20"/>
                <w:szCs w:val="20"/>
                <w:color w:val="auto"/>
              </w:rPr>
            </w:pPr>
            <w:r>
              <w:rPr>
                <w:rFonts w:ascii="Arial" w:cs="Arial" w:eastAsia="Arial" w:hAnsi="Arial"/>
                <w:sz w:val="16"/>
                <w:szCs w:val="16"/>
                <w:color w:val="auto"/>
              </w:rPr>
              <w:t>- 42 -</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3"/>
        </w:trPr>
        <w:tc>
          <w:tcPr>
            <w:tcW w:w="28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10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80" w:type="dxa"/>
            <w:vAlign w:val="bottom"/>
            <w:tcBorders>
              <w:bottom w:val="single" w:sz="8" w:color="808080"/>
            </w:tcBorders>
          </w:tcPr>
          <w:p>
            <w:pPr>
              <w:spacing w:after="0"/>
              <w:rPr>
                <w:sz w:val="16"/>
                <w:szCs w:val="16"/>
                <w:color w:val="auto"/>
              </w:rPr>
            </w:pPr>
          </w:p>
        </w:tc>
        <w:tc>
          <w:tcPr>
            <w:tcW w:w="3900" w:type="dxa"/>
            <w:vAlign w:val="bottom"/>
            <w:tcBorders>
              <w:bottom w:val="single" w:sz="8" w:color="808080"/>
            </w:tcBorders>
          </w:tcPr>
          <w:p>
            <w:pPr>
              <w:spacing w:after="0"/>
              <w:rPr>
                <w:sz w:val="16"/>
                <w:szCs w:val="16"/>
                <w:color w:val="auto"/>
              </w:rPr>
            </w:pPr>
          </w:p>
        </w:tc>
        <w:tc>
          <w:tcPr>
            <w:tcW w:w="110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8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276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91" w:right="21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17"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jc w:val="center"/>
        <w:ind w:right="1239"/>
        <w:spacing w:after="0"/>
        <w:rPr>
          <w:sz w:val="20"/>
          <w:szCs w:val="20"/>
          <w:color w:val="auto"/>
        </w:rPr>
      </w:pPr>
      <w:r>
        <w:rPr>
          <w:rFonts w:ascii="Arial" w:cs="Arial" w:eastAsia="Arial" w:hAnsi="Arial"/>
          <w:sz w:val="16"/>
          <w:szCs w:val="16"/>
          <w:b w:val="1"/>
          <w:bCs w:val="1"/>
          <w:color w:val="auto"/>
        </w:rPr>
        <w:t>(Continued)</w:t>
      </w:r>
    </w:p>
    <w:p>
      <w:pPr>
        <w:spacing w:after="0" w:line="168" w:lineRule="exact"/>
        <w:rPr>
          <w:sz w:val="20"/>
          <w:szCs w:val="20"/>
          <w:color w:val="auto"/>
        </w:rPr>
      </w:pPr>
    </w:p>
    <w:p>
      <w:pPr>
        <w:ind w:left="600" w:hanging="311"/>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INCOME TAXES, continued</w:t>
      </w:r>
    </w:p>
    <w:p>
      <w:pPr>
        <w:spacing w:after="0" w:line="156" w:lineRule="exact"/>
        <w:rPr>
          <w:rFonts w:ascii="Arial" w:cs="Arial" w:eastAsia="Arial" w:hAnsi="Arial"/>
          <w:sz w:val="16"/>
          <w:szCs w:val="16"/>
          <w:color w:val="auto"/>
        </w:rPr>
      </w:pPr>
    </w:p>
    <w:p>
      <w:pPr>
        <w:ind w:left="600" w:right="2419"/>
        <w:spacing w:after="0" w:line="251" w:lineRule="auto"/>
        <w:rPr>
          <w:rFonts w:ascii="Arial" w:cs="Arial" w:eastAsia="Arial" w:hAnsi="Arial"/>
          <w:sz w:val="16"/>
          <w:szCs w:val="16"/>
          <w:color w:val="auto"/>
        </w:rPr>
      </w:pPr>
      <w:r>
        <w:rPr>
          <w:rFonts w:ascii="Arial" w:cs="Arial" w:eastAsia="Arial" w:hAnsi="Arial"/>
          <w:sz w:val="16"/>
          <w:szCs w:val="16"/>
          <w:color w:val="auto"/>
        </w:rPr>
        <w:t>The tax effect of temporary differences which give rise to deferred income tax assets and liabilities at December 31, 2009 and 2008, are as follows:</w:t>
      </w:r>
    </w:p>
    <w:p>
      <w:pPr>
        <w:spacing w:after="0" w:line="161"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36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2009</w:t>
            </w:r>
          </w:p>
        </w:tc>
        <w:tc>
          <w:tcPr>
            <w:tcW w:w="88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2008</w:t>
            </w:r>
          </w:p>
        </w:tc>
        <w:tc>
          <w:tcPr>
            <w:tcW w:w="8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74"/>
        </w:trPr>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480"/>
              <w:spacing w:after="0" w:line="175" w:lineRule="exact"/>
              <w:rPr>
                <w:sz w:val="20"/>
                <w:szCs w:val="20"/>
                <w:color w:val="auto"/>
              </w:rPr>
            </w:pPr>
            <w:r>
              <w:rPr>
                <w:rFonts w:ascii="Arial" w:cs="Arial" w:eastAsia="Arial" w:hAnsi="Arial"/>
                <w:sz w:val="16"/>
                <w:szCs w:val="16"/>
                <w:color w:val="auto"/>
              </w:rPr>
              <w:t>Current</w:t>
            </w:r>
          </w:p>
        </w:tc>
        <w:tc>
          <w:tcPr>
            <w:tcW w:w="980" w:type="dxa"/>
            <w:vAlign w:val="bottom"/>
            <w:gridSpan w:val="2"/>
          </w:tcPr>
          <w:p>
            <w:pPr>
              <w:ind w:left="60"/>
              <w:spacing w:after="0" w:line="175" w:lineRule="exact"/>
              <w:rPr>
                <w:sz w:val="20"/>
                <w:szCs w:val="20"/>
                <w:color w:val="auto"/>
              </w:rPr>
            </w:pPr>
            <w:r>
              <w:rPr>
                <w:rFonts w:ascii="Arial" w:cs="Arial" w:eastAsia="Arial" w:hAnsi="Arial"/>
                <w:sz w:val="16"/>
                <w:szCs w:val="16"/>
                <w:color w:val="auto"/>
              </w:rPr>
              <w:t>Non-Current</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right"/>
              <w:ind w:right="480"/>
              <w:spacing w:after="0" w:line="175" w:lineRule="exact"/>
              <w:rPr>
                <w:sz w:val="20"/>
                <w:szCs w:val="20"/>
                <w:color w:val="auto"/>
              </w:rPr>
            </w:pPr>
            <w:r>
              <w:rPr>
                <w:rFonts w:ascii="Arial" w:cs="Arial" w:eastAsia="Arial" w:hAnsi="Arial"/>
                <w:sz w:val="16"/>
                <w:szCs w:val="16"/>
                <w:color w:val="auto"/>
              </w:rPr>
              <w:t>Current</w:t>
            </w:r>
          </w:p>
        </w:tc>
        <w:tc>
          <w:tcPr>
            <w:tcW w:w="980" w:type="dxa"/>
            <w:vAlign w:val="bottom"/>
            <w:gridSpan w:val="2"/>
          </w:tcPr>
          <w:p>
            <w:pPr>
              <w:jc w:val="right"/>
              <w:spacing w:after="0" w:line="175" w:lineRule="exact"/>
              <w:rPr>
                <w:sz w:val="20"/>
                <w:szCs w:val="20"/>
                <w:color w:val="auto"/>
              </w:rPr>
            </w:pPr>
            <w:r>
              <w:rPr>
                <w:rFonts w:ascii="Arial" w:cs="Arial" w:eastAsia="Arial" w:hAnsi="Arial"/>
                <w:sz w:val="16"/>
                <w:szCs w:val="16"/>
                <w:color w:val="auto"/>
              </w:rPr>
              <w:t>Non-Current</w:t>
            </w:r>
          </w:p>
        </w:tc>
        <w:tc>
          <w:tcPr>
            <w:tcW w:w="60" w:type="dxa"/>
            <w:vAlign w:val="bottom"/>
          </w:tcPr>
          <w:p>
            <w:pPr>
              <w:spacing w:after="0"/>
              <w:rPr>
                <w:sz w:val="15"/>
                <w:szCs w:val="15"/>
                <w:color w:val="auto"/>
              </w:rPr>
            </w:pPr>
          </w:p>
        </w:tc>
      </w:tr>
      <w:tr>
        <w:trPr>
          <w:trHeight w:val="174"/>
        </w:trPr>
        <w:tc>
          <w:tcPr>
            <w:tcW w:w="36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Assets:</w:t>
            </w: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2"/>
        </w:trPr>
        <w:tc>
          <w:tcPr>
            <w:tcW w:w="3660" w:type="dxa"/>
            <w:vAlign w:val="bottom"/>
          </w:tcPr>
          <w:p>
            <w:pPr>
              <w:ind w:left="200"/>
              <w:spacing w:after="0" w:line="182" w:lineRule="exact"/>
              <w:rPr>
                <w:sz w:val="20"/>
                <w:szCs w:val="20"/>
                <w:color w:val="auto"/>
              </w:rPr>
            </w:pPr>
            <w:r>
              <w:rPr>
                <w:rFonts w:ascii="Arial" w:cs="Arial" w:eastAsia="Arial" w:hAnsi="Arial"/>
                <w:sz w:val="16"/>
                <w:szCs w:val="16"/>
                <w:color w:val="auto"/>
              </w:rPr>
              <w:t>Accruals not currently deductible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2,262,944</w:t>
            </w:r>
          </w:p>
        </w:tc>
        <w:tc>
          <w:tcPr>
            <w:tcW w:w="100" w:type="dxa"/>
            <w:vAlign w:val="bottom"/>
          </w:tcPr>
          <w:p>
            <w:pPr>
              <w:jc w:val="right"/>
              <w:spacing w:after="0" w:line="182" w:lineRule="exact"/>
              <w:rPr>
                <w:sz w:val="20"/>
                <w:szCs w:val="20"/>
                <w:color w:val="auto"/>
              </w:rPr>
            </w:pPr>
            <w:r>
              <w:rPr>
                <w:rFonts w:ascii="Arial" w:cs="Arial" w:eastAsia="Arial" w:hAnsi="Arial"/>
                <w:sz w:val="16"/>
                <w:szCs w:val="16"/>
                <w:color w:val="auto"/>
                <w:w w:val="89"/>
              </w:rPr>
              <w:t>$</w:t>
            </w:r>
          </w:p>
        </w:tc>
        <w:tc>
          <w:tcPr>
            <w:tcW w:w="118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240,553</w:t>
            </w:r>
          </w:p>
        </w:tc>
        <w:tc>
          <w:tcPr>
            <w:tcW w:w="100" w:type="dxa"/>
            <w:vAlign w:val="bottom"/>
          </w:tcPr>
          <w:p>
            <w:pPr>
              <w:jc w:val="right"/>
              <w:spacing w:after="0" w:line="182" w:lineRule="exact"/>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2,888,504</w:t>
            </w:r>
          </w:p>
        </w:tc>
        <w:tc>
          <w:tcPr>
            <w:tcW w:w="100" w:type="dxa"/>
            <w:vAlign w:val="bottom"/>
          </w:tcPr>
          <w:p>
            <w:pPr>
              <w:jc w:val="right"/>
              <w:spacing w:after="0" w:line="182" w:lineRule="exact"/>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232,153</w:t>
            </w:r>
          </w:p>
        </w:tc>
      </w:tr>
      <w:tr>
        <w:trPr>
          <w:trHeight w:val="182"/>
        </w:trPr>
        <w:tc>
          <w:tcPr>
            <w:tcW w:w="366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Stock based compensation</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7,805,644</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1,429,966</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5,973,807</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1,540,419</w:t>
            </w:r>
          </w:p>
        </w:tc>
      </w:tr>
      <w:tr>
        <w:trPr>
          <w:trHeight w:val="181"/>
        </w:trPr>
        <w:tc>
          <w:tcPr>
            <w:tcW w:w="3660" w:type="dxa"/>
            <w:vAlign w:val="bottom"/>
          </w:tcPr>
          <w:p>
            <w:pPr>
              <w:ind w:left="200"/>
              <w:spacing w:after="0" w:line="181" w:lineRule="exact"/>
              <w:rPr>
                <w:sz w:val="20"/>
                <w:szCs w:val="20"/>
                <w:color w:val="auto"/>
              </w:rPr>
            </w:pPr>
            <w:r>
              <w:rPr>
                <w:rFonts w:ascii="Arial" w:cs="Arial" w:eastAsia="Arial" w:hAnsi="Arial"/>
                <w:sz w:val="16"/>
                <w:szCs w:val="16"/>
                <w:color w:val="auto"/>
              </w:rPr>
              <w:t>Impairment loss on available-for-sale</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3"/>
        </w:trPr>
        <w:tc>
          <w:tcPr>
            <w:tcW w:w="3660" w:type="dxa"/>
            <w:vAlign w:val="bottom"/>
          </w:tcPr>
          <w:p>
            <w:pPr>
              <w:ind w:left="380"/>
              <w:spacing w:after="0"/>
              <w:rPr>
                <w:sz w:val="20"/>
                <w:szCs w:val="20"/>
                <w:color w:val="auto"/>
              </w:rPr>
            </w:pPr>
            <w:r>
              <w:rPr>
                <w:rFonts w:ascii="Arial" w:cs="Arial" w:eastAsia="Arial" w:hAnsi="Arial"/>
                <w:sz w:val="16"/>
                <w:szCs w:val="16"/>
                <w:color w:val="auto"/>
              </w:rPr>
              <w:t>securities</w:t>
            </w:r>
          </w:p>
        </w:tc>
        <w:tc>
          <w:tcPr>
            <w:tcW w:w="100" w:type="dxa"/>
            <w:vAlign w:val="bottom"/>
          </w:tcPr>
          <w:p>
            <w:pPr>
              <w:spacing w:after="0"/>
              <w:rPr>
                <w:sz w:val="15"/>
                <w:szCs w:val="15"/>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6"/>
                <w:szCs w:val="16"/>
                <w:color w:val="auto"/>
              </w:rPr>
              <w:t>2,877,354</w:t>
            </w:r>
          </w:p>
        </w:tc>
        <w:tc>
          <w:tcPr>
            <w:tcW w:w="100" w:type="dxa"/>
            <w:vAlign w:val="bottom"/>
          </w:tcPr>
          <w:p>
            <w:pPr>
              <w:spacing w:after="0"/>
              <w:rPr>
                <w:sz w:val="15"/>
                <w:szCs w:val="15"/>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6,268,465</w:t>
            </w:r>
          </w:p>
        </w:tc>
      </w:tr>
      <w:tr>
        <w:trPr>
          <w:trHeight w:val="182"/>
        </w:trPr>
        <w:tc>
          <w:tcPr>
            <w:tcW w:w="366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Capital loss</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4,285,155</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w:t>
            </w:r>
          </w:p>
        </w:tc>
      </w:tr>
      <w:tr>
        <w:trPr>
          <w:trHeight w:val="182"/>
        </w:trPr>
        <w:tc>
          <w:tcPr>
            <w:tcW w:w="3660" w:type="dxa"/>
            <w:vAlign w:val="bottom"/>
          </w:tcPr>
          <w:p>
            <w:pPr>
              <w:ind w:left="200"/>
              <w:spacing w:after="0" w:line="182" w:lineRule="exact"/>
              <w:rPr>
                <w:sz w:val="20"/>
                <w:szCs w:val="20"/>
                <w:color w:val="auto"/>
              </w:rPr>
            </w:pPr>
            <w:r>
              <w:rPr>
                <w:rFonts w:ascii="Arial" w:cs="Arial" w:eastAsia="Arial" w:hAnsi="Arial"/>
                <w:sz w:val="16"/>
                <w:szCs w:val="16"/>
                <w:color w:val="auto"/>
              </w:rPr>
              <w:t>Other</w:t>
            </w:r>
          </w:p>
        </w:tc>
        <w:tc>
          <w:tcPr>
            <w:tcW w:w="100" w:type="dxa"/>
            <w:vAlign w:val="bottom"/>
          </w:tcPr>
          <w:p>
            <w:pPr>
              <w:spacing w:after="0"/>
              <w:rPr>
                <w:sz w:val="15"/>
                <w:szCs w:val="15"/>
                <w:color w:val="auto"/>
              </w:rPr>
            </w:pPr>
          </w:p>
        </w:tc>
        <w:tc>
          <w:tcPr>
            <w:tcW w:w="110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3,419,478</w:t>
            </w:r>
          </w:p>
        </w:tc>
        <w:tc>
          <w:tcPr>
            <w:tcW w:w="100" w:type="dxa"/>
            <w:vAlign w:val="bottom"/>
          </w:tcPr>
          <w:p>
            <w:pPr>
              <w:spacing w:after="0"/>
              <w:rPr>
                <w:sz w:val="15"/>
                <w:szCs w:val="15"/>
                <w:color w:val="auto"/>
              </w:rPr>
            </w:pPr>
          </w:p>
        </w:tc>
        <w:tc>
          <w:tcPr>
            <w:tcW w:w="118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12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3,448,900</w:t>
            </w:r>
          </w:p>
        </w:tc>
        <w:tc>
          <w:tcPr>
            <w:tcW w:w="100" w:type="dxa"/>
            <w:vAlign w:val="bottom"/>
          </w:tcPr>
          <w:p>
            <w:pPr>
              <w:spacing w:after="0"/>
              <w:rPr>
                <w:sz w:val="15"/>
                <w:szCs w:val="15"/>
                <w:color w:val="auto"/>
              </w:rPr>
            </w:pPr>
          </w:p>
        </w:tc>
        <w:tc>
          <w:tcPr>
            <w:tcW w:w="94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w:t>
            </w:r>
          </w:p>
        </w:tc>
      </w:tr>
      <w:tr>
        <w:trPr>
          <w:trHeight w:val="24"/>
        </w:trPr>
        <w:tc>
          <w:tcPr>
            <w:tcW w:w="3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366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Total deferred income tax assets</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w w:val="97"/>
              </w:rPr>
              <w:t>17,773,221</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4,547,873</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w w:val="99"/>
              </w:rPr>
              <w:t>12,311,211</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8,041,037</w:t>
            </w:r>
          </w:p>
        </w:tc>
      </w:tr>
      <w:tr>
        <w:trPr>
          <w:trHeight w:val="365"/>
        </w:trPr>
        <w:tc>
          <w:tcPr>
            <w:tcW w:w="366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82"/>
        </w:trPr>
        <w:tc>
          <w:tcPr>
            <w:tcW w:w="366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Excess tax over book depreciation</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(22,354,374)</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w w:val="99"/>
              </w:rPr>
              <w:t>(21,189,323)</w:t>
            </w:r>
          </w:p>
        </w:tc>
      </w:tr>
      <w:tr>
        <w:trPr>
          <w:trHeight w:val="182"/>
        </w:trPr>
        <w:tc>
          <w:tcPr>
            <w:tcW w:w="3660" w:type="dxa"/>
            <w:vAlign w:val="bottom"/>
          </w:tcPr>
          <w:p>
            <w:pPr>
              <w:ind w:left="200"/>
              <w:spacing w:after="0" w:line="182" w:lineRule="exact"/>
              <w:rPr>
                <w:sz w:val="20"/>
                <w:szCs w:val="20"/>
                <w:color w:val="auto"/>
              </w:rPr>
            </w:pPr>
            <w:r>
              <w:rPr>
                <w:rFonts w:ascii="Arial" w:cs="Arial" w:eastAsia="Arial" w:hAnsi="Arial"/>
                <w:sz w:val="16"/>
                <w:szCs w:val="16"/>
                <w:color w:val="auto"/>
              </w:rPr>
              <w:t>Patent costs</w:t>
            </w:r>
          </w:p>
        </w:tc>
        <w:tc>
          <w:tcPr>
            <w:tcW w:w="100" w:type="dxa"/>
            <w:vAlign w:val="bottom"/>
          </w:tcPr>
          <w:p>
            <w:pPr>
              <w:spacing w:after="0"/>
              <w:rPr>
                <w:sz w:val="15"/>
                <w:szCs w:val="15"/>
                <w:color w:val="auto"/>
              </w:rPr>
            </w:pPr>
          </w:p>
        </w:tc>
        <w:tc>
          <w:tcPr>
            <w:tcW w:w="110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118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(1,830,705)</w:t>
            </w:r>
          </w:p>
        </w:tc>
        <w:tc>
          <w:tcPr>
            <w:tcW w:w="100" w:type="dxa"/>
            <w:vAlign w:val="bottom"/>
          </w:tcPr>
          <w:p>
            <w:pPr>
              <w:spacing w:after="0"/>
              <w:rPr>
                <w:sz w:val="15"/>
                <w:szCs w:val="15"/>
                <w:color w:val="auto"/>
              </w:rPr>
            </w:pPr>
          </w:p>
        </w:tc>
        <w:tc>
          <w:tcPr>
            <w:tcW w:w="112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0"/>
              <w:spacing w:after="0" w:line="182" w:lineRule="exact"/>
              <w:rPr>
                <w:sz w:val="20"/>
                <w:szCs w:val="20"/>
                <w:color w:val="auto"/>
              </w:rPr>
            </w:pPr>
            <w:r>
              <w:rPr>
                <w:rFonts w:ascii="Arial" w:cs="Arial" w:eastAsia="Arial" w:hAnsi="Arial"/>
                <w:sz w:val="16"/>
                <w:szCs w:val="16"/>
                <w:color w:val="auto"/>
              </w:rPr>
              <w:t>(1,679,367)</w:t>
            </w:r>
          </w:p>
        </w:tc>
      </w:tr>
      <w:tr>
        <w:trPr>
          <w:trHeight w:val="182"/>
        </w:trPr>
        <w:tc>
          <w:tcPr>
            <w:tcW w:w="366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Unrealized gain on investments</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(8,397,630)</w:t>
            </w:r>
          </w:p>
        </w:tc>
        <w:tc>
          <w:tcPr>
            <w:tcW w:w="1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rPr>
              <w:t>(206,460)</w:t>
            </w:r>
          </w:p>
        </w:tc>
      </w:tr>
      <w:tr>
        <w:trPr>
          <w:trHeight w:val="182"/>
        </w:trPr>
        <w:tc>
          <w:tcPr>
            <w:tcW w:w="3660" w:type="dxa"/>
            <w:vAlign w:val="bottom"/>
          </w:tcPr>
          <w:p>
            <w:pPr>
              <w:ind w:left="200"/>
              <w:spacing w:after="0" w:line="182" w:lineRule="exact"/>
              <w:rPr>
                <w:sz w:val="20"/>
                <w:szCs w:val="20"/>
                <w:color w:val="auto"/>
              </w:rPr>
            </w:pPr>
            <w:r>
              <w:rPr>
                <w:rFonts w:ascii="Arial" w:cs="Arial" w:eastAsia="Arial" w:hAnsi="Arial"/>
                <w:sz w:val="16"/>
                <w:szCs w:val="16"/>
                <w:color w:val="auto"/>
              </w:rPr>
              <w:t>Other</w:t>
            </w:r>
          </w:p>
        </w:tc>
        <w:tc>
          <w:tcPr>
            <w:tcW w:w="100" w:type="dxa"/>
            <w:vAlign w:val="bottom"/>
          </w:tcPr>
          <w:p>
            <w:pPr>
              <w:spacing w:after="0"/>
              <w:rPr>
                <w:sz w:val="15"/>
                <w:szCs w:val="15"/>
                <w:color w:val="auto"/>
              </w:rPr>
            </w:pPr>
          </w:p>
        </w:tc>
        <w:tc>
          <w:tcPr>
            <w:tcW w:w="110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(664,426)</w:t>
            </w:r>
          </w:p>
        </w:tc>
        <w:tc>
          <w:tcPr>
            <w:tcW w:w="100" w:type="dxa"/>
            <w:vAlign w:val="bottom"/>
          </w:tcPr>
          <w:p>
            <w:pPr>
              <w:spacing w:after="0"/>
              <w:rPr>
                <w:sz w:val="15"/>
                <w:szCs w:val="15"/>
                <w:color w:val="auto"/>
              </w:rPr>
            </w:pPr>
          </w:p>
        </w:tc>
        <w:tc>
          <w:tcPr>
            <w:tcW w:w="118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(2,132)</w:t>
            </w:r>
          </w:p>
        </w:tc>
        <w:tc>
          <w:tcPr>
            <w:tcW w:w="100" w:type="dxa"/>
            <w:vAlign w:val="bottom"/>
          </w:tcPr>
          <w:p>
            <w:pPr>
              <w:spacing w:after="0"/>
              <w:rPr>
                <w:sz w:val="15"/>
                <w:szCs w:val="15"/>
                <w:color w:val="auto"/>
              </w:rPr>
            </w:pPr>
          </w:p>
        </w:tc>
        <w:tc>
          <w:tcPr>
            <w:tcW w:w="112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(702,203)</w:t>
            </w:r>
          </w:p>
        </w:tc>
        <w:tc>
          <w:tcPr>
            <w:tcW w:w="100" w:type="dxa"/>
            <w:vAlign w:val="bottom"/>
          </w:tcPr>
          <w:p>
            <w:pPr>
              <w:spacing w:after="0"/>
              <w:rPr>
                <w:sz w:val="15"/>
                <w:szCs w:val="15"/>
                <w:color w:val="auto"/>
              </w:rPr>
            </w:pPr>
          </w:p>
        </w:tc>
        <w:tc>
          <w:tcPr>
            <w:tcW w:w="940" w:type="dxa"/>
            <w:vAlign w:val="bottom"/>
            <w:gridSpan w:val="2"/>
          </w:tcPr>
          <w:p>
            <w:pPr>
              <w:jc w:val="right"/>
              <w:ind w:right="20"/>
              <w:spacing w:after="0" w:line="182" w:lineRule="exact"/>
              <w:rPr>
                <w:sz w:val="20"/>
                <w:szCs w:val="20"/>
                <w:color w:val="auto"/>
              </w:rPr>
            </w:pPr>
            <w:r>
              <w:rPr>
                <w:rFonts w:ascii="Arial" w:cs="Arial" w:eastAsia="Arial" w:hAnsi="Arial"/>
                <w:sz w:val="16"/>
                <w:szCs w:val="16"/>
                <w:color w:val="auto"/>
              </w:rPr>
              <w:t>(507)</w:t>
            </w:r>
          </w:p>
        </w:tc>
      </w:tr>
      <w:tr>
        <w:trPr>
          <w:trHeight w:val="24"/>
        </w:trPr>
        <w:tc>
          <w:tcPr>
            <w:tcW w:w="3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182"/>
        </w:trPr>
        <w:tc>
          <w:tcPr>
            <w:tcW w:w="366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Net deferred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1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w w:val="97"/>
              </w:rPr>
              <w:t>17,108,795</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w w:val="89"/>
              </w:rPr>
              <w:t>$</w:t>
            </w:r>
          </w:p>
        </w:tc>
        <w:tc>
          <w:tcPr>
            <w:tcW w:w="118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(28,036,968)</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w w:val="89"/>
              </w:rPr>
              <w:t>$</w:t>
            </w:r>
          </w:p>
        </w:tc>
        <w:tc>
          <w:tcPr>
            <w:tcW w:w="112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w w:val="99"/>
              </w:rPr>
              <w:t>11,609,008</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w w:val="89"/>
              </w:rPr>
              <w:t>$</w:t>
            </w:r>
          </w:p>
        </w:tc>
        <w:tc>
          <w:tcPr>
            <w:tcW w:w="940" w:type="dxa"/>
            <w:vAlign w:val="bottom"/>
            <w:gridSpan w:val="2"/>
            <w:shd w:val="clear" w:color="auto" w:fill="CCEEFF"/>
          </w:tcPr>
          <w:p>
            <w:pPr>
              <w:jc w:val="right"/>
              <w:ind w:right="20"/>
              <w:spacing w:after="0" w:line="182" w:lineRule="exact"/>
              <w:rPr>
                <w:sz w:val="20"/>
                <w:szCs w:val="20"/>
                <w:color w:val="auto"/>
              </w:rPr>
            </w:pPr>
            <w:r>
              <w:rPr>
                <w:rFonts w:ascii="Arial" w:cs="Arial" w:eastAsia="Arial" w:hAnsi="Arial"/>
                <w:sz w:val="16"/>
                <w:szCs w:val="16"/>
                <w:color w:val="auto"/>
                <w:w w:val="99"/>
              </w:rPr>
              <w:t>(15,034,620)</w:t>
            </w:r>
          </w:p>
        </w:tc>
      </w:tr>
      <w:tr>
        <w:trPr>
          <w:trHeight w:val="20"/>
        </w:trPr>
        <w:tc>
          <w:tcPr>
            <w:tcW w:w="3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9" w:lineRule="exact"/>
        <w:rPr>
          <w:sz w:val="20"/>
          <w:szCs w:val="20"/>
          <w:color w:val="auto"/>
        </w:rPr>
      </w:pPr>
    </w:p>
    <w:p>
      <w:pPr>
        <w:ind w:left="600" w:right="1759"/>
        <w:spacing w:after="0" w:line="251" w:lineRule="auto"/>
        <w:rPr>
          <w:sz w:val="20"/>
          <w:szCs w:val="20"/>
          <w:color w:val="auto"/>
        </w:rPr>
      </w:pPr>
      <w:r>
        <w:rPr>
          <w:rFonts w:ascii="Arial" w:cs="Arial" w:eastAsia="Arial" w:hAnsi="Arial"/>
          <w:sz w:val="16"/>
          <w:szCs w:val="16"/>
          <w:color w:val="auto"/>
        </w:rPr>
        <w:t>Income taxes paid in cash were approximately $27,518,000, $43,765,000 and $59,162,000 in 2009, 2008 and 2007, respectively.</w:t>
      </w:r>
    </w:p>
    <w:p>
      <w:pPr>
        <w:spacing w:after="0" w:line="150" w:lineRule="exact"/>
        <w:rPr>
          <w:sz w:val="20"/>
          <w:szCs w:val="20"/>
          <w:color w:val="auto"/>
        </w:rPr>
      </w:pPr>
    </w:p>
    <w:p>
      <w:pPr>
        <w:ind w:left="600" w:hanging="311"/>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EMPLOYEE BENEFIT PLAN</w:t>
      </w:r>
    </w:p>
    <w:p>
      <w:pPr>
        <w:spacing w:after="0" w:line="156" w:lineRule="exact"/>
        <w:rPr>
          <w:rFonts w:ascii="Arial" w:cs="Arial" w:eastAsia="Arial" w:hAnsi="Arial"/>
          <w:sz w:val="16"/>
          <w:szCs w:val="16"/>
          <w:color w:val="auto"/>
        </w:rPr>
      </w:pPr>
    </w:p>
    <w:p>
      <w:pPr>
        <w:ind w:left="600" w:right="1699"/>
        <w:spacing w:after="0" w:line="242" w:lineRule="auto"/>
        <w:rPr>
          <w:rFonts w:ascii="Arial" w:cs="Arial" w:eastAsia="Arial" w:hAnsi="Arial"/>
          <w:sz w:val="16"/>
          <w:szCs w:val="16"/>
          <w:color w:val="auto"/>
        </w:rPr>
      </w:pPr>
      <w:r>
        <w:rPr>
          <w:rFonts w:ascii="Arial" w:cs="Arial" w:eastAsia="Arial" w:hAnsi="Arial"/>
          <w:sz w:val="16"/>
          <w:szCs w:val="16"/>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In 2009, 2008 and 2007, the Company’s contributions were approximately $1,713,000, $1,839,000 and $1,849,000, respectively.</w:t>
      </w:r>
    </w:p>
    <w:p>
      <w:pPr>
        <w:spacing w:after="0" w:line="144" w:lineRule="exact"/>
        <w:rPr>
          <w:rFonts w:ascii="Arial" w:cs="Arial" w:eastAsia="Arial" w:hAnsi="Arial"/>
          <w:sz w:val="16"/>
          <w:szCs w:val="16"/>
          <w:color w:val="auto"/>
        </w:rPr>
      </w:pPr>
    </w:p>
    <w:p>
      <w:pPr>
        <w:ind w:left="600"/>
        <w:spacing w:after="0"/>
        <w:rPr>
          <w:rFonts w:ascii="Arial" w:cs="Arial" w:eastAsia="Arial" w:hAnsi="Arial"/>
          <w:sz w:val="16"/>
          <w:szCs w:val="16"/>
          <w:color w:val="auto"/>
        </w:rPr>
      </w:pPr>
      <w:r>
        <w:rPr>
          <w:rFonts w:ascii="Arial" w:cs="Arial" w:eastAsia="Arial" w:hAnsi="Arial"/>
          <w:sz w:val="16"/>
          <w:szCs w:val="16"/>
          <w:color w:val="auto"/>
        </w:rPr>
        <w:t>The Company does not provide health care benefits to retired employees.</w:t>
      </w:r>
    </w:p>
    <w:p>
      <w:pPr>
        <w:spacing w:after="0" w:line="168" w:lineRule="exact"/>
        <w:rPr>
          <w:rFonts w:ascii="Arial" w:cs="Arial" w:eastAsia="Arial" w:hAnsi="Arial"/>
          <w:sz w:val="16"/>
          <w:szCs w:val="16"/>
          <w:color w:val="auto"/>
        </w:rPr>
      </w:pPr>
    </w:p>
    <w:p>
      <w:pPr>
        <w:ind w:left="600" w:hanging="311"/>
        <w:spacing w:after="0"/>
        <w:tabs>
          <w:tab w:leader="none" w:pos="6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SHAREHOLDER PROTECTION RIGHTS PLAN</w:t>
      </w:r>
    </w:p>
    <w:p>
      <w:pPr>
        <w:spacing w:after="0" w:line="156" w:lineRule="exact"/>
        <w:rPr>
          <w:rFonts w:ascii="Arial" w:cs="Arial" w:eastAsia="Arial" w:hAnsi="Arial"/>
          <w:sz w:val="16"/>
          <w:szCs w:val="16"/>
          <w:color w:val="auto"/>
        </w:rPr>
      </w:pPr>
    </w:p>
    <w:p>
      <w:pPr>
        <w:ind w:left="600" w:right="1779"/>
        <w:spacing w:after="0" w:line="244" w:lineRule="auto"/>
        <w:rPr>
          <w:rFonts w:ascii="Arial" w:cs="Arial" w:eastAsia="Arial" w:hAnsi="Arial"/>
          <w:sz w:val="16"/>
          <w:szCs w:val="16"/>
          <w:color w:val="auto"/>
        </w:rPr>
      </w:pPr>
      <w:r>
        <w:rPr>
          <w:rFonts w:ascii="Arial" w:cs="Arial" w:eastAsia="Arial" w:hAnsi="Arial"/>
          <w:sz w:val="16"/>
          <w:szCs w:val="16"/>
          <w:color w:val="auto"/>
        </w:rPr>
        <w:t>The Company has a Shareholder Protection Rights Plan (the Plan). The Plan is designed to protect shareholders against unsolicited attempts to acquire control of the Company in a manner that does not offer a fair price to all shareholders.</w:t>
      </w:r>
    </w:p>
    <w:p>
      <w:pPr>
        <w:spacing w:after="0" w:line="200" w:lineRule="exact"/>
        <w:rPr>
          <w:rFonts w:ascii="Arial" w:cs="Arial" w:eastAsia="Arial" w:hAnsi="Arial"/>
          <w:sz w:val="16"/>
          <w:szCs w:val="16"/>
          <w:color w:val="auto"/>
        </w:rPr>
      </w:pPr>
    </w:p>
    <w:p>
      <w:pPr>
        <w:spacing w:after="0" w:line="295" w:lineRule="exact"/>
        <w:rPr>
          <w:rFonts w:ascii="Arial" w:cs="Arial" w:eastAsia="Arial" w:hAnsi="Arial"/>
          <w:sz w:val="16"/>
          <w:szCs w:val="16"/>
          <w:color w:val="auto"/>
        </w:rPr>
      </w:pPr>
    </w:p>
    <w:p>
      <w:pPr>
        <w:ind w:left="4400" w:hanging="101"/>
        <w:spacing w:after="0"/>
        <w:tabs>
          <w:tab w:leader="none" w:pos="4400" w:val="left"/>
        </w:tabs>
        <w:numPr>
          <w:ilvl w:val="1"/>
          <w:numId w:val="23"/>
        </w:numPr>
        <w:rPr>
          <w:rFonts w:ascii="Arial" w:cs="Arial" w:eastAsia="Arial" w:hAnsi="Arial"/>
          <w:sz w:val="16"/>
          <w:szCs w:val="16"/>
          <w:color w:val="auto"/>
        </w:rPr>
      </w:pPr>
      <w:r>
        <w:rPr>
          <w:rFonts w:ascii="Arial" w:cs="Arial" w:eastAsia="Arial" w:hAnsi="Arial"/>
          <w:sz w:val="16"/>
          <w:szCs w:val="16"/>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2460"/>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17" w:lineRule="exact"/>
        <w:rPr>
          <w:sz w:val="20"/>
          <w:szCs w:val="20"/>
          <w:color w:val="auto"/>
        </w:rPr>
      </w:pPr>
    </w:p>
    <w:p>
      <w:pPr>
        <w:jc w:val="center"/>
        <w:ind w:right="2460"/>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jc w:val="center"/>
        <w:ind w:right="2460"/>
        <w:spacing w:after="0"/>
        <w:rPr>
          <w:sz w:val="20"/>
          <w:szCs w:val="20"/>
          <w:color w:val="auto"/>
        </w:rPr>
      </w:pPr>
      <w:r>
        <w:rPr>
          <w:rFonts w:ascii="Arial" w:cs="Arial" w:eastAsia="Arial" w:hAnsi="Arial"/>
          <w:sz w:val="16"/>
          <w:szCs w:val="16"/>
          <w:b w:val="1"/>
          <w:bCs w:val="1"/>
          <w:color w:val="auto"/>
        </w:rPr>
        <w:t>(Continued)</w:t>
      </w:r>
    </w:p>
    <w:p>
      <w:pPr>
        <w:spacing w:after="0" w:line="168" w:lineRule="exact"/>
        <w:rPr>
          <w:sz w:val="20"/>
          <w:szCs w:val="20"/>
          <w:color w:val="auto"/>
        </w:rPr>
      </w:pPr>
    </w:p>
    <w:p>
      <w:pPr>
        <w:ind w:left="600" w:hanging="311"/>
        <w:spacing w:after="0"/>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SHAREHOLDER PROTECTION RIGHTS PLAN, continued</w:t>
      </w:r>
    </w:p>
    <w:p>
      <w:pPr>
        <w:spacing w:after="0" w:line="156" w:lineRule="exact"/>
        <w:rPr>
          <w:rFonts w:ascii="Arial" w:cs="Arial" w:eastAsia="Arial" w:hAnsi="Arial"/>
          <w:sz w:val="16"/>
          <w:szCs w:val="16"/>
          <w:color w:val="auto"/>
        </w:rPr>
      </w:pPr>
    </w:p>
    <w:p>
      <w:pPr>
        <w:ind w:left="600" w:right="2760"/>
        <w:spacing w:after="0" w:line="237" w:lineRule="auto"/>
        <w:rPr>
          <w:rFonts w:ascii="Arial" w:cs="Arial" w:eastAsia="Arial" w:hAnsi="Arial"/>
          <w:sz w:val="16"/>
          <w:szCs w:val="16"/>
          <w:color w:val="auto"/>
        </w:rPr>
      </w:pPr>
      <w:r>
        <w:rPr>
          <w:rFonts w:ascii="Arial" w:cs="Arial" w:eastAsia="Arial" w:hAnsi="Arial"/>
          <w:sz w:val="16"/>
          <w:szCs w:val="16"/>
          <w:color w:val="auto"/>
        </w:rPr>
        <w:t>Under the Plan, one purchase Right automatically trades with each share of the Company’s common stock. Each Right entitles a shareholder to purchase 1/100 of a share of junior participating preferred stock at a price of $55, if any person or group attempts certain hostile takeover tactics toward the Company. Under certain hostile takeover circumstances, each Right may entitle the holder to purchase the Company’s common stock at one-half its market value or to purchase the securities of any acquiring entity at one-half their market value. Rights are subject to redemption by the Company at $.0025 per Right and, unless earlier redeemed, will expire on</w:t>
      </w:r>
    </w:p>
    <w:p>
      <w:pPr>
        <w:spacing w:after="0" w:line="3" w:lineRule="exact"/>
        <w:rPr>
          <w:rFonts w:ascii="Arial" w:cs="Arial" w:eastAsia="Arial" w:hAnsi="Arial"/>
          <w:sz w:val="16"/>
          <w:szCs w:val="16"/>
          <w:color w:val="auto"/>
        </w:rPr>
      </w:pPr>
    </w:p>
    <w:p>
      <w:pPr>
        <w:ind w:left="600" w:right="2780"/>
        <w:spacing w:after="0" w:line="251" w:lineRule="auto"/>
        <w:rPr>
          <w:rFonts w:ascii="Arial" w:cs="Arial" w:eastAsia="Arial" w:hAnsi="Arial"/>
          <w:sz w:val="16"/>
          <w:szCs w:val="16"/>
          <w:color w:val="auto"/>
        </w:rPr>
      </w:pPr>
      <w:r>
        <w:rPr>
          <w:rFonts w:ascii="Arial" w:cs="Arial" w:eastAsia="Arial" w:hAnsi="Arial"/>
          <w:sz w:val="16"/>
          <w:szCs w:val="16"/>
          <w:color w:val="auto"/>
        </w:rPr>
        <w:t>March 29, 2011. Rights beneficially owned by holders of 15 percent or more of the Company’s common stock, or their transferees, automatically become void.</w:t>
      </w:r>
    </w:p>
    <w:p>
      <w:pPr>
        <w:spacing w:after="0" w:line="137" w:lineRule="exact"/>
        <w:rPr>
          <w:rFonts w:ascii="Arial" w:cs="Arial" w:eastAsia="Arial" w:hAnsi="Arial"/>
          <w:sz w:val="16"/>
          <w:szCs w:val="16"/>
          <w:color w:val="auto"/>
        </w:rPr>
      </w:pPr>
    </w:p>
    <w:p>
      <w:pPr>
        <w:ind w:left="600" w:right="7760" w:hanging="311"/>
        <w:spacing w:after="0" w:line="451" w:lineRule="auto"/>
        <w:tabs>
          <w:tab w:leader="none" w:pos="6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STOCK-BASED COMPENSATION PLANS </w:t>
      </w:r>
      <w:r>
        <w:rPr>
          <w:rFonts w:ascii="Arial" w:cs="Arial" w:eastAsia="Arial" w:hAnsi="Arial"/>
          <w:sz w:val="16"/>
          <w:szCs w:val="16"/>
          <w:u w:val="single" w:color="auto"/>
          <w:color w:val="auto"/>
        </w:rPr>
        <w:t>Employee Stock Option Plan</w:t>
      </w:r>
    </w:p>
    <w:p>
      <w:pPr>
        <w:spacing w:after="0" w:line="1" w:lineRule="exact"/>
        <w:rPr>
          <w:rFonts w:ascii="Arial" w:cs="Arial" w:eastAsia="Arial" w:hAnsi="Arial"/>
          <w:sz w:val="16"/>
          <w:szCs w:val="16"/>
          <w:color w:val="auto"/>
        </w:rPr>
      </w:pPr>
    </w:p>
    <w:p>
      <w:pPr>
        <w:ind w:left="600" w:right="2780"/>
        <w:spacing w:after="0" w:line="241" w:lineRule="auto"/>
        <w:rPr>
          <w:rFonts w:ascii="Arial" w:cs="Arial" w:eastAsia="Arial" w:hAnsi="Arial"/>
          <w:sz w:val="16"/>
          <w:szCs w:val="16"/>
          <w:color w:val="auto"/>
        </w:rPr>
      </w:pPr>
      <w:r>
        <w:rPr>
          <w:rFonts w:ascii="Arial" w:cs="Arial" w:eastAsia="Arial" w:hAnsi="Arial"/>
          <w:sz w:val="16"/>
          <w:szCs w:val="16"/>
          <w:color w:val="auto"/>
        </w:rPr>
        <w:t>In 2004, a new Employee Stock Option Plan was approved by shareholders, replacing the prior plan. The Company may grant options for up to 18,000,000 shares under its new Employee Stock Option Plan. The Company has granted options on 7,174,616 shares (net of shares from canceled/expired options) under the new plan through December 31, 2009. Under the plans, the option exercise price equals the stock’s market price on date of grant. The options vest after one to five years, and expire after five to seven years.</w:t>
      </w:r>
    </w:p>
    <w:p>
      <w:pPr>
        <w:spacing w:after="0" w:line="145" w:lineRule="exact"/>
        <w:rPr>
          <w:rFonts w:ascii="Arial" w:cs="Arial" w:eastAsia="Arial" w:hAnsi="Arial"/>
          <w:sz w:val="16"/>
          <w:szCs w:val="16"/>
          <w:color w:val="auto"/>
        </w:rPr>
      </w:pPr>
    </w:p>
    <w:p>
      <w:pPr>
        <w:ind w:left="600" w:right="2860"/>
        <w:spacing w:after="0" w:line="244" w:lineRule="auto"/>
        <w:rPr>
          <w:rFonts w:ascii="Arial" w:cs="Arial" w:eastAsia="Arial" w:hAnsi="Arial"/>
          <w:sz w:val="16"/>
          <w:szCs w:val="16"/>
          <w:color w:val="auto"/>
        </w:rPr>
      </w:pPr>
      <w:r>
        <w:rPr>
          <w:rFonts w:ascii="Arial" w:cs="Arial" w:eastAsia="Arial" w:hAnsi="Arial"/>
          <w:sz w:val="16"/>
          <w:szCs w:val="16"/>
          <w:color w:val="auto"/>
        </w:rPr>
        <w:t>The fair value of each option grant in the Employee Stock Option Plan was estimated on the date of grant using the Black-Scholes option pricing model with the following weighted-average assumptions for the indicated periods:</w:t>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2009</w:t>
            </w:r>
          </w:p>
        </w:tc>
        <w:tc>
          <w:tcPr>
            <w:tcW w:w="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2008</w:t>
            </w:r>
          </w:p>
        </w:tc>
        <w:tc>
          <w:tcPr>
            <w:tcW w:w="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2007</w:t>
            </w:r>
          </w:p>
        </w:tc>
        <w:tc>
          <w:tcPr>
            <w:tcW w:w="140" w:type="dxa"/>
            <w:vAlign w:val="bottom"/>
          </w:tcPr>
          <w:p>
            <w:pPr>
              <w:spacing w:after="0"/>
              <w:rPr>
                <w:sz w:val="16"/>
                <w:szCs w:val="16"/>
                <w:color w:val="auto"/>
              </w:rPr>
            </w:pPr>
          </w:p>
        </w:tc>
      </w:tr>
      <w:tr>
        <w:trPr>
          <w:trHeight w:val="174"/>
        </w:trPr>
        <w:tc>
          <w:tcPr>
            <w:tcW w:w="4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Dividend yield</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line="175" w:lineRule="exact"/>
              <w:rPr>
                <w:sz w:val="20"/>
                <w:szCs w:val="20"/>
                <w:color w:val="auto"/>
              </w:rPr>
            </w:pPr>
            <w:r>
              <w:rPr>
                <w:rFonts w:ascii="Arial" w:cs="Arial" w:eastAsia="Arial" w:hAnsi="Arial"/>
                <w:sz w:val="16"/>
                <w:szCs w:val="16"/>
                <w:color w:val="auto"/>
              </w:rPr>
              <w:t>2.6%</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line="175" w:lineRule="exact"/>
              <w:rPr>
                <w:sz w:val="20"/>
                <w:szCs w:val="20"/>
                <w:color w:val="auto"/>
              </w:rPr>
            </w:pPr>
            <w:r>
              <w:rPr>
                <w:rFonts w:ascii="Arial" w:cs="Arial" w:eastAsia="Arial" w:hAnsi="Arial"/>
                <w:sz w:val="16"/>
                <w:szCs w:val="16"/>
                <w:color w:val="auto"/>
              </w:rPr>
              <w:t>2.1%</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2.0%</w:t>
            </w:r>
          </w:p>
        </w:tc>
      </w:tr>
      <w:tr>
        <w:trPr>
          <w:trHeight w:val="182"/>
        </w:trPr>
        <w:tc>
          <w:tcPr>
            <w:tcW w:w="4960" w:type="dxa"/>
            <w:vAlign w:val="bottom"/>
          </w:tcPr>
          <w:p>
            <w:pPr>
              <w:ind w:left="20"/>
              <w:spacing w:after="0" w:line="182" w:lineRule="exact"/>
              <w:rPr>
                <w:sz w:val="20"/>
                <w:szCs w:val="20"/>
                <w:color w:val="auto"/>
              </w:rPr>
            </w:pPr>
            <w:r>
              <w:rPr>
                <w:rFonts w:ascii="Arial" w:cs="Arial" w:eastAsia="Arial" w:hAnsi="Arial"/>
                <w:sz w:val="16"/>
                <w:szCs w:val="16"/>
                <w:color w:val="auto"/>
              </w:rPr>
              <w:t>Expected volatility</w:t>
            </w:r>
          </w:p>
        </w:tc>
        <w:tc>
          <w:tcPr>
            <w:tcW w:w="180" w:type="dxa"/>
            <w:vAlign w:val="bottom"/>
          </w:tcPr>
          <w:p>
            <w:pPr>
              <w:spacing w:after="0"/>
              <w:rPr>
                <w:sz w:val="15"/>
                <w:szCs w:val="15"/>
                <w:color w:val="auto"/>
              </w:rPr>
            </w:pPr>
          </w:p>
        </w:tc>
        <w:tc>
          <w:tcPr>
            <w:tcW w:w="1060" w:type="dxa"/>
            <w:vAlign w:val="bottom"/>
            <w:gridSpan w:val="2"/>
          </w:tcPr>
          <w:p>
            <w:pPr>
              <w:jc w:val="right"/>
              <w:ind w:right="260"/>
              <w:spacing w:after="0" w:line="182" w:lineRule="exact"/>
              <w:rPr>
                <w:sz w:val="20"/>
                <w:szCs w:val="20"/>
                <w:color w:val="auto"/>
              </w:rPr>
            </w:pPr>
            <w:r>
              <w:rPr>
                <w:rFonts w:ascii="Arial" w:cs="Arial" w:eastAsia="Arial" w:hAnsi="Arial"/>
                <w:sz w:val="16"/>
                <w:szCs w:val="16"/>
                <w:color w:val="auto"/>
              </w:rPr>
              <w:t>39.2%</w:t>
            </w:r>
          </w:p>
        </w:tc>
        <w:tc>
          <w:tcPr>
            <w:tcW w:w="160" w:type="dxa"/>
            <w:vAlign w:val="bottom"/>
          </w:tcPr>
          <w:p>
            <w:pPr>
              <w:spacing w:after="0"/>
              <w:rPr>
                <w:sz w:val="15"/>
                <w:szCs w:val="15"/>
                <w:color w:val="auto"/>
              </w:rPr>
            </w:pPr>
          </w:p>
        </w:tc>
        <w:tc>
          <w:tcPr>
            <w:tcW w:w="106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31.9%</w:t>
            </w:r>
          </w:p>
        </w:tc>
        <w:tc>
          <w:tcPr>
            <w:tcW w:w="160" w:type="dxa"/>
            <w:vAlign w:val="bottom"/>
          </w:tcPr>
          <w:p>
            <w:pPr>
              <w:spacing w:after="0"/>
              <w:rPr>
                <w:sz w:val="15"/>
                <w:szCs w:val="15"/>
                <w:color w:val="auto"/>
              </w:rPr>
            </w:pPr>
          </w:p>
        </w:tc>
        <w:tc>
          <w:tcPr>
            <w:tcW w:w="82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29.5%</w:t>
            </w:r>
          </w:p>
        </w:tc>
      </w:tr>
      <w:tr>
        <w:trPr>
          <w:trHeight w:val="182"/>
        </w:trPr>
        <w:tc>
          <w:tcPr>
            <w:tcW w:w="496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Risk-free interest rate</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2.3%</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2.7%</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4.4%</w:t>
            </w:r>
          </w:p>
        </w:tc>
      </w:tr>
      <w:tr>
        <w:trPr>
          <w:trHeight w:val="182"/>
        </w:trPr>
        <w:tc>
          <w:tcPr>
            <w:tcW w:w="4960" w:type="dxa"/>
            <w:vAlign w:val="bottom"/>
          </w:tcPr>
          <w:p>
            <w:pPr>
              <w:ind w:left="20"/>
              <w:spacing w:after="0" w:line="182" w:lineRule="exact"/>
              <w:rPr>
                <w:sz w:val="20"/>
                <w:szCs w:val="20"/>
                <w:color w:val="auto"/>
              </w:rPr>
            </w:pPr>
            <w:r>
              <w:rPr>
                <w:rFonts w:ascii="Arial" w:cs="Arial" w:eastAsia="Arial" w:hAnsi="Arial"/>
                <w:sz w:val="16"/>
                <w:szCs w:val="16"/>
                <w:color w:val="auto"/>
              </w:rPr>
              <w:t>Expected term of options (in years)</w:t>
            </w: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2" w:lineRule="exact"/>
              <w:rPr>
                <w:sz w:val="20"/>
                <w:szCs w:val="20"/>
                <w:color w:val="auto"/>
              </w:rPr>
            </w:pPr>
            <w:r>
              <w:rPr>
                <w:rFonts w:ascii="Arial" w:cs="Arial" w:eastAsia="Arial" w:hAnsi="Arial"/>
                <w:sz w:val="16"/>
                <w:szCs w:val="16"/>
                <w:color w:val="auto"/>
              </w:rPr>
              <w:t>4.4</w:t>
            </w:r>
          </w:p>
        </w:tc>
        <w:tc>
          <w:tcPr>
            <w:tcW w:w="160" w:type="dxa"/>
            <w:vAlign w:val="bottom"/>
          </w:tcPr>
          <w:p>
            <w:pPr>
              <w:spacing w:after="0"/>
              <w:rPr>
                <w:sz w:val="15"/>
                <w:szCs w:val="15"/>
                <w:color w:val="auto"/>
              </w:rPr>
            </w:pPr>
          </w:p>
        </w:tc>
        <w:tc>
          <w:tcPr>
            <w:tcW w:w="1060" w:type="dxa"/>
            <w:vAlign w:val="bottom"/>
            <w:gridSpan w:val="2"/>
          </w:tcPr>
          <w:p>
            <w:pPr>
              <w:jc w:val="right"/>
              <w:ind w:right="380"/>
              <w:spacing w:after="0" w:line="182" w:lineRule="exact"/>
              <w:rPr>
                <w:sz w:val="20"/>
                <w:szCs w:val="20"/>
                <w:color w:val="auto"/>
              </w:rPr>
            </w:pPr>
            <w:r>
              <w:rPr>
                <w:rFonts w:ascii="Arial" w:cs="Arial" w:eastAsia="Arial" w:hAnsi="Arial"/>
                <w:sz w:val="16"/>
                <w:szCs w:val="16"/>
                <w:color w:val="auto"/>
              </w:rPr>
              <w:t>4.5</w:t>
            </w:r>
          </w:p>
        </w:tc>
        <w:tc>
          <w:tcPr>
            <w:tcW w:w="160" w:type="dxa"/>
            <w:vAlign w:val="bottom"/>
          </w:tcPr>
          <w:p>
            <w:pPr>
              <w:spacing w:after="0"/>
              <w:rPr>
                <w:sz w:val="15"/>
                <w:szCs w:val="15"/>
                <w:color w:val="auto"/>
              </w:rPr>
            </w:pPr>
          </w:p>
        </w:tc>
        <w:tc>
          <w:tcPr>
            <w:tcW w:w="82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4.5</w:t>
            </w:r>
          </w:p>
        </w:tc>
      </w:tr>
      <w:tr>
        <w:trPr>
          <w:trHeight w:val="182"/>
        </w:trPr>
        <w:tc>
          <w:tcPr>
            <w:tcW w:w="496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Weighted-average grant-date fair value</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400"/>
              <w:spacing w:after="0" w:line="182" w:lineRule="exact"/>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6"/>
                <w:szCs w:val="16"/>
                <w:color w:val="auto"/>
              </w:rPr>
              <w:t>3</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6"/>
                <w:szCs w:val="16"/>
                <w:color w:val="auto"/>
              </w:rPr>
              <w:t>5</w:t>
            </w:r>
          </w:p>
        </w:tc>
      </w:tr>
    </w:tbl>
    <w:p>
      <w:pPr>
        <w:spacing w:after="0" w:line="169" w:lineRule="exact"/>
        <w:rPr>
          <w:sz w:val="20"/>
          <w:szCs w:val="20"/>
          <w:color w:val="auto"/>
        </w:rPr>
      </w:pPr>
    </w:p>
    <w:p>
      <w:pPr>
        <w:ind w:left="600" w:right="3400"/>
        <w:spacing w:after="0" w:line="251" w:lineRule="auto"/>
        <w:rPr>
          <w:sz w:val="20"/>
          <w:szCs w:val="20"/>
          <w:color w:val="auto"/>
        </w:rPr>
      </w:pPr>
      <w:r>
        <w:rPr>
          <w:rFonts w:ascii="Arial" w:cs="Arial" w:eastAsia="Arial" w:hAnsi="Arial"/>
          <w:sz w:val="16"/>
          <w:szCs w:val="16"/>
          <w:color w:val="auto"/>
        </w:rPr>
        <w:t>The Company determined that all employee groups exhibit similar exercise and post-vesting termination behavior to determine the expected term.</w:t>
      </w:r>
    </w:p>
    <w:p>
      <w:pPr>
        <w:spacing w:after="0" w:line="138" w:lineRule="exact"/>
        <w:rPr>
          <w:sz w:val="20"/>
          <w:szCs w:val="20"/>
          <w:color w:val="auto"/>
        </w:rPr>
      </w:pPr>
    </w:p>
    <w:p>
      <w:pPr>
        <w:ind w:left="600" w:right="3000"/>
        <w:spacing w:after="0" w:line="244" w:lineRule="auto"/>
        <w:rPr>
          <w:sz w:val="20"/>
          <w:szCs w:val="20"/>
          <w:color w:val="auto"/>
        </w:rPr>
      </w:pPr>
      <w:r>
        <w:rPr>
          <w:rFonts w:ascii="Arial" w:cs="Arial" w:eastAsia="Arial" w:hAnsi="Arial"/>
          <w:sz w:val="16"/>
          <w:szCs w:val="16"/>
          <w:color w:val="auto"/>
        </w:rPr>
        <w:t>As of December 31, 2009, there was $10,716,050 of unrecognized compensation cost related to share-based payments which is expected to be recognized over the remaining vesting periods, with a weighted-average period of 4.0 years.</w:t>
      </w:r>
    </w:p>
    <w:p>
      <w:pPr>
        <w:spacing w:after="0" w:line="144" w:lineRule="exact"/>
        <w:rPr>
          <w:sz w:val="20"/>
          <w:szCs w:val="20"/>
          <w:color w:val="auto"/>
        </w:rPr>
      </w:pPr>
    </w:p>
    <w:p>
      <w:pPr>
        <w:ind w:left="600" w:right="2920"/>
        <w:spacing w:after="0" w:line="251" w:lineRule="auto"/>
        <w:rPr>
          <w:sz w:val="20"/>
          <w:szCs w:val="20"/>
          <w:color w:val="auto"/>
        </w:rPr>
      </w:pPr>
      <w:r>
        <w:rPr>
          <w:rFonts w:ascii="Arial" w:cs="Arial" w:eastAsia="Arial" w:hAnsi="Arial"/>
          <w:sz w:val="16"/>
          <w:szCs w:val="16"/>
          <w:color w:val="auto"/>
        </w:rPr>
        <w:t>A summary of the status of the Company’s employee stock option plan at December 31, 2009, 2008 and 2007, and changes during the same periods are presented in the tables and narrative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2009</w:t>
            </w:r>
          </w:p>
        </w:tc>
        <w:tc>
          <w:tcPr>
            <w:tcW w:w="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760" w:type="dxa"/>
            <w:vAlign w:val="bottom"/>
          </w:tcPr>
          <w:p>
            <w:pPr>
              <w:spacing w:after="0"/>
              <w:rPr>
                <w:sz w:val="16"/>
                <w:szCs w:val="16"/>
                <w:color w:val="auto"/>
              </w:rPr>
            </w:pPr>
          </w:p>
        </w:tc>
      </w:tr>
      <w:tr>
        <w:trPr>
          <w:trHeight w:val="174"/>
        </w:trPr>
        <w:tc>
          <w:tcPr>
            <w:tcW w:w="2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ind w:left="120"/>
              <w:spacing w:after="0" w:line="174" w:lineRule="exact"/>
              <w:rPr>
                <w:sz w:val="20"/>
                <w:szCs w:val="20"/>
                <w:color w:val="auto"/>
              </w:rPr>
            </w:pPr>
            <w:r>
              <w:rPr>
                <w:rFonts w:ascii="Arial" w:cs="Arial" w:eastAsia="Arial" w:hAnsi="Arial"/>
                <w:sz w:val="16"/>
                <w:szCs w:val="16"/>
                <w:color w:val="auto"/>
              </w:rPr>
              <w:t>Aggregate</w:t>
            </w: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060" w:type="dxa"/>
            <w:vAlign w:val="bottom"/>
            <w:gridSpan w:val="2"/>
          </w:tcPr>
          <w:p>
            <w:pPr>
              <w:jc w:val="right"/>
              <w:ind w:right="420"/>
              <w:spacing w:after="0" w:line="182" w:lineRule="exact"/>
              <w:rPr>
                <w:sz w:val="20"/>
                <w:szCs w:val="20"/>
                <w:color w:val="auto"/>
              </w:rPr>
            </w:pPr>
            <w:r>
              <w:rPr>
                <w:rFonts w:ascii="Arial" w:cs="Arial" w:eastAsia="Arial" w:hAnsi="Arial"/>
                <w:sz w:val="16"/>
                <w:szCs w:val="16"/>
                <w:color w:val="auto"/>
              </w:rPr>
              <w:t>Shares</w:t>
            </w:r>
          </w:p>
        </w:tc>
        <w:tc>
          <w:tcPr>
            <w:tcW w:w="1100" w:type="dxa"/>
            <w:vAlign w:val="bottom"/>
            <w:gridSpan w:val="3"/>
          </w:tcPr>
          <w:p>
            <w:pPr>
              <w:jc w:val="center"/>
              <w:ind w:right="280"/>
              <w:spacing w:after="0" w:line="182" w:lineRule="exact"/>
              <w:rPr>
                <w:sz w:val="20"/>
                <w:szCs w:val="20"/>
                <w:color w:val="auto"/>
              </w:rPr>
            </w:pPr>
            <w:r>
              <w:rPr>
                <w:rFonts w:ascii="Arial" w:cs="Arial" w:eastAsia="Arial" w:hAnsi="Arial"/>
                <w:sz w:val="16"/>
                <w:szCs w:val="16"/>
                <w:color w:val="auto"/>
              </w:rPr>
              <w:t>Wtd. Avg.</w:t>
            </w:r>
          </w:p>
        </w:tc>
        <w:tc>
          <w:tcPr>
            <w:tcW w:w="1800" w:type="dxa"/>
            <w:vAlign w:val="bottom"/>
            <w:gridSpan w:val="2"/>
          </w:tcPr>
          <w:p>
            <w:pPr>
              <w:jc w:val="center"/>
              <w:ind w:right="260"/>
              <w:spacing w:after="0" w:line="182" w:lineRule="exact"/>
              <w:rPr>
                <w:sz w:val="20"/>
                <w:szCs w:val="20"/>
                <w:color w:val="auto"/>
              </w:rPr>
            </w:pPr>
            <w:r>
              <w:rPr>
                <w:rFonts w:ascii="Arial" w:cs="Arial" w:eastAsia="Arial" w:hAnsi="Arial"/>
                <w:sz w:val="16"/>
                <w:szCs w:val="16"/>
                <w:color w:val="auto"/>
                <w:w w:val="99"/>
              </w:rPr>
              <w:t>Wtd. Avg. Remaining</w:t>
            </w:r>
          </w:p>
        </w:tc>
        <w:tc>
          <w:tcPr>
            <w:tcW w:w="1060" w:type="dxa"/>
            <w:vAlign w:val="bottom"/>
            <w:gridSpan w:val="2"/>
          </w:tcPr>
          <w:p>
            <w:pPr>
              <w:spacing w:after="0" w:line="182" w:lineRule="exact"/>
              <w:rPr>
                <w:sz w:val="20"/>
                <w:szCs w:val="20"/>
                <w:color w:val="auto"/>
              </w:rPr>
            </w:pPr>
            <w:r>
              <w:rPr>
                <w:rFonts w:ascii="Arial" w:cs="Arial" w:eastAsia="Arial" w:hAnsi="Arial"/>
                <w:sz w:val="16"/>
                <w:szCs w:val="16"/>
                <w:color w:val="auto"/>
              </w:rPr>
              <w:t>Intrinsic Value</w:t>
            </w:r>
          </w:p>
        </w:tc>
        <w:tc>
          <w:tcPr>
            <w:tcW w:w="27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000</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Ex. Price</w:t>
            </w:r>
          </w:p>
        </w:tc>
        <w:tc>
          <w:tcPr>
            <w:tcW w:w="28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Contract Life</w:t>
            </w:r>
          </w:p>
        </w:tc>
        <w:tc>
          <w:tcPr>
            <w:tcW w:w="280" w:type="dxa"/>
            <w:vAlign w:val="bottom"/>
          </w:tcPr>
          <w:p>
            <w:pPr>
              <w:spacing w:after="0"/>
              <w:rPr>
                <w:sz w:val="15"/>
                <w:szCs w:val="15"/>
                <w:color w:val="auto"/>
              </w:rPr>
            </w:pPr>
          </w:p>
        </w:tc>
        <w:tc>
          <w:tcPr>
            <w:tcW w:w="40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w w:val="97"/>
              </w:rPr>
              <w:t>000</w:t>
            </w:r>
          </w:p>
        </w:tc>
        <w:tc>
          <w:tcPr>
            <w:tcW w:w="2760" w:type="dxa"/>
            <w:vAlign w:val="bottom"/>
          </w:tcPr>
          <w:p>
            <w:pPr>
              <w:spacing w:after="0"/>
              <w:rPr>
                <w:sz w:val="15"/>
                <w:szCs w:val="15"/>
                <w:color w:val="auto"/>
              </w:rPr>
            </w:pPr>
          </w:p>
        </w:tc>
      </w:tr>
      <w:tr>
        <w:trPr>
          <w:trHeight w:val="174"/>
        </w:trPr>
        <w:tc>
          <w:tcPr>
            <w:tcW w:w="280" w:type="dxa"/>
            <w:vAlign w:val="bottom"/>
          </w:tcPr>
          <w:p>
            <w:pPr>
              <w:spacing w:after="0"/>
              <w:rPr>
                <w:sz w:val="15"/>
                <w:szCs w:val="15"/>
                <w:color w:val="auto"/>
              </w:rPr>
            </w:pPr>
          </w:p>
        </w:tc>
        <w:tc>
          <w:tcPr>
            <w:tcW w:w="33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Outstanding at Beginning of Year</w:t>
            </w:r>
          </w:p>
        </w:tc>
        <w:tc>
          <w:tcPr>
            <w:tcW w:w="1060" w:type="dxa"/>
            <w:vAlign w:val="bottom"/>
            <w:gridSpan w:val="2"/>
            <w:shd w:val="clear" w:color="auto" w:fill="CCEEFF"/>
          </w:tcPr>
          <w:p>
            <w:pPr>
              <w:jc w:val="right"/>
              <w:ind w:right="280"/>
              <w:spacing w:after="0" w:line="175" w:lineRule="exact"/>
              <w:rPr>
                <w:sz w:val="20"/>
                <w:szCs w:val="20"/>
                <w:color w:val="auto"/>
              </w:rPr>
            </w:pPr>
            <w:r>
              <w:rPr>
                <w:rFonts w:ascii="Arial" w:cs="Arial" w:eastAsia="Arial" w:hAnsi="Arial"/>
                <w:sz w:val="16"/>
                <w:szCs w:val="16"/>
                <w:color w:val="auto"/>
              </w:rPr>
              <w:t>9,392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60"/>
              <w:spacing w:after="0" w:line="175" w:lineRule="exact"/>
              <w:rPr>
                <w:sz w:val="20"/>
                <w:szCs w:val="20"/>
                <w:color w:val="auto"/>
              </w:rPr>
            </w:pPr>
            <w:r>
              <w:rPr>
                <w:rFonts w:ascii="Arial" w:cs="Arial" w:eastAsia="Arial" w:hAnsi="Arial"/>
                <w:sz w:val="16"/>
                <w:szCs w:val="16"/>
                <w:color w:val="auto"/>
              </w:rPr>
              <w:t>17</w:t>
            </w:r>
          </w:p>
        </w:tc>
        <w:tc>
          <w:tcPr>
            <w:tcW w:w="1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spacing w:after="0"/>
              <w:rPr>
                <w:sz w:val="15"/>
                <w:szCs w:val="15"/>
                <w:color w:val="auto"/>
              </w:rPr>
            </w:pP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3380" w:type="dxa"/>
            <w:vAlign w:val="bottom"/>
          </w:tcPr>
          <w:p>
            <w:pPr>
              <w:ind w:left="20"/>
              <w:spacing w:after="0" w:line="182" w:lineRule="exact"/>
              <w:rPr>
                <w:sz w:val="20"/>
                <w:szCs w:val="20"/>
                <w:color w:val="auto"/>
              </w:rPr>
            </w:pPr>
            <w:r>
              <w:rPr>
                <w:rFonts w:ascii="Arial" w:cs="Arial" w:eastAsia="Arial" w:hAnsi="Arial"/>
                <w:sz w:val="16"/>
                <w:szCs w:val="16"/>
                <w:color w:val="auto"/>
              </w:rPr>
              <w:t>Granted</w:t>
            </w:r>
          </w:p>
        </w:tc>
        <w:tc>
          <w:tcPr>
            <w:tcW w:w="1060" w:type="dxa"/>
            <w:vAlign w:val="bottom"/>
            <w:gridSpan w:val="2"/>
          </w:tcPr>
          <w:p>
            <w:pPr>
              <w:jc w:val="right"/>
              <w:ind w:right="280"/>
              <w:spacing w:after="0" w:line="182" w:lineRule="exact"/>
              <w:rPr>
                <w:sz w:val="20"/>
                <w:szCs w:val="20"/>
                <w:color w:val="auto"/>
              </w:rPr>
            </w:pPr>
            <w:r>
              <w:rPr>
                <w:rFonts w:ascii="Arial" w:cs="Arial" w:eastAsia="Arial" w:hAnsi="Arial"/>
                <w:sz w:val="16"/>
                <w:szCs w:val="16"/>
                <w:color w:val="auto"/>
              </w:rPr>
              <w:t>1,990</w:t>
            </w:r>
          </w:p>
        </w:tc>
        <w:tc>
          <w:tcPr>
            <w:tcW w:w="80" w:type="dxa"/>
            <w:vAlign w:val="bottom"/>
          </w:tcPr>
          <w:p>
            <w:pPr>
              <w:spacing w:after="0"/>
              <w:rPr>
                <w:sz w:val="15"/>
                <w:szCs w:val="15"/>
                <w:color w:val="auto"/>
              </w:rPr>
            </w:pPr>
          </w:p>
        </w:tc>
        <w:tc>
          <w:tcPr>
            <w:tcW w:w="1020" w:type="dxa"/>
            <w:vAlign w:val="bottom"/>
            <w:gridSpan w:val="2"/>
          </w:tcPr>
          <w:p>
            <w:pPr>
              <w:jc w:val="right"/>
              <w:ind w:right="260"/>
              <w:spacing w:after="0" w:line="182" w:lineRule="exact"/>
              <w:rPr>
                <w:sz w:val="20"/>
                <w:szCs w:val="20"/>
                <w:color w:val="auto"/>
              </w:rPr>
            </w:pPr>
            <w:r>
              <w:rPr>
                <w:rFonts w:ascii="Arial" w:cs="Arial" w:eastAsia="Arial" w:hAnsi="Arial"/>
                <w:sz w:val="16"/>
                <w:szCs w:val="16"/>
                <w:color w:val="auto"/>
              </w:rPr>
              <w:t>13</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33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Exercised</w:t>
            </w:r>
          </w:p>
        </w:tc>
        <w:tc>
          <w:tcPr>
            <w:tcW w:w="106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(432)</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16</w:t>
            </w:r>
          </w:p>
        </w:tc>
        <w:tc>
          <w:tcPr>
            <w:tcW w:w="1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66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921</w:t>
            </w: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3380" w:type="dxa"/>
            <w:vAlign w:val="bottom"/>
          </w:tcPr>
          <w:p>
            <w:pPr>
              <w:ind w:left="20"/>
              <w:spacing w:after="0" w:line="182" w:lineRule="exact"/>
              <w:rPr>
                <w:sz w:val="20"/>
                <w:szCs w:val="20"/>
                <w:color w:val="auto"/>
              </w:rPr>
            </w:pPr>
            <w:r>
              <w:rPr>
                <w:rFonts w:ascii="Arial" w:cs="Arial" w:eastAsia="Arial" w:hAnsi="Arial"/>
                <w:sz w:val="16"/>
                <w:szCs w:val="16"/>
                <w:color w:val="auto"/>
              </w:rPr>
              <w:t>Forfeited</w:t>
            </w:r>
          </w:p>
        </w:tc>
        <w:tc>
          <w:tcPr>
            <w:tcW w:w="106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(2,531)</w:t>
            </w:r>
          </w:p>
        </w:tc>
        <w:tc>
          <w:tcPr>
            <w:tcW w:w="80" w:type="dxa"/>
            <w:vAlign w:val="bottom"/>
          </w:tcPr>
          <w:p>
            <w:pPr>
              <w:spacing w:after="0"/>
              <w:rPr>
                <w:sz w:val="15"/>
                <w:szCs w:val="15"/>
                <w:color w:val="auto"/>
              </w:rPr>
            </w:pPr>
          </w:p>
        </w:tc>
        <w:tc>
          <w:tcPr>
            <w:tcW w:w="1020" w:type="dxa"/>
            <w:vAlign w:val="bottom"/>
            <w:gridSpan w:val="2"/>
          </w:tcPr>
          <w:p>
            <w:pPr>
              <w:jc w:val="right"/>
              <w:ind w:right="260"/>
              <w:spacing w:after="0" w:line="182" w:lineRule="exact"/>
              <w:rPr>
                <w:sz w:val="20"/>
                <w:szCs w:val="20"/>
                <w:color w:val="auto"/>
              </w:rPr>
            </w:pPr>
            <w:r>
              <w:rPr>
                <w:rFonts w:ascii="Arial" w:cs="Arial" w:eastAsia="Arial" w:hAnsi="Arial"/>
                <w:sz w:val="16"/>
                <w:szCs w:val="16"/>
                <w:color w:val="auto"/>
              </w:rPr>
              <w:t>18</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187"/>
        </w:trPr>
        <w:tc>
          <w:tcPr>
            <w:tcW w:w="2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760" w:type="dxa"/>
            <w:vAlign w:val="bottom"/>
          </w:tcPr>
          <w:p>
            <w:pPr>
              <w:spacing w:after="0"/>
              <w:rPr>
                <w:sz w:val="16"/>
                <w:szCs w:val="16"/>
                <w:color w:val="auto"/>
              </w:rPr>
            </w:pPr>
          </w:p>
        </w:tc>
      </w:tr>
      <w:tr>
        <w:trPr>
          <w:trHeight w:val="182"/>
        </w:trPr>
        <w:tc>
          <w:tcPr>
            <w:tcW w:w="280" w:type="dxa"/>
            <w:vAlign w:val="bottom"/>
          </w:tcPr>
          <w:p>
            <w:pPr>
              <w:spacing w:after="0"/>
              <w:rPr>
                <w:sz w:val="15"/>
                <w:szCs w:val="15"/>
                <w:color w:val="auto"/>
              </w:rPr>
            </w:pPr>
          </w:p>
        </w:tc>
        <w:tc>
          <w:tcPr>
            <w:tcW w:w="33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Outstanding at End of Year</w:t>
            </w:r>
          </w:p>
        </w:tc>
        <w:tc>
          <w:tcPr>
            <w:tcW w:w="106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6"/>
                <w:szCs w:val="16"/>
                <w:color w:val="auto"/>
              </w:rPr>
              <w:t>8,419</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16</w:t>
            </w:r>
          </w:p>
        </w:tc>
        <w:tc>
          <w:tcPr>
            <w:tcW w:w="1800" w:type="dxa"/>
            <w:vAlign w:val="bottom"/>
            <w:gridSpan w:val="2"/>
            <w:shd w:val="clear" w:color="auto" w:fill="CCEEFF"/>
          </w:tcPr>
          <w:p>
            <w:pPr>
              <w:ind w:left="1000"/>
              <w:spacing w:after="0" w:line="182" w:lineRule="exact"/>
              <w:rPr>
                <w:sz w:val="20"/>
                <w:szCs w:val="20"/>
                <w:color w:val="auto"/>
              </w:rPr>
            </w:pPr>
            <w:r>
              <w:rPr>
                <w:rFonts w:ascii="Arial" w:cs="Arial" w:eastAsia="Arial" w:hAnsi="Arial"/>
                <w:sz w:val="16"/>
                <w:szCs w:val="16"/>
                <w:color w:val="auto"/>
              </w:rPr>
              <w:t>3.1 Yrs</w:t>
            </w:r>
          </w:p>
        </w:tc>
        <w:tc>
          <w:tcPr>
            <w:tcW w:w="4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66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21,024</w:t>
            </w:r>
          </w:p>
        </w:tc>
        <w:tc>
          <w:tcPr>
            <w:tcW w:w="2760" w:type="dxa"/>
            <w:vAlign w:val="bottom"/>
          </w:tcPr>
          <w:p>
            <w:pPr>
              <w:spacing w:after="0"/>
              <w:rPr>
                <w:sz w:val="15"/>
                <w:szCs w:val="15"/>
                <w:color w:val="auto"/>
              </w:rPr>
            </w:pPr>
          </w:p>
        </w:tc>
      </w:tr>
      <w:tr>
        <w:trPr>
          <w:trHeight w:val="376"/>
        </w:trPr>
        <w:tc>
          <w:tcPr>
            <w:tcW w:w="28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16"/>
                <w:szCs w:val="16"/>
                <w:color w:val="auto"/>
              </w:rPr>
              <w:t>Exercisable at End of Year</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3,757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17</w:t>
            </w:r>
          </w:p>
        </w:tc>
        <w:tc>
          <w:tcPr>
            <w:tcW w:w="1800" w:type="dxa"/>
            <w:vAlign w:val="bottom"/>
            <w:gridSpan w:val="2"/>
          </w:tcPr>
          <w:p>
            <w:pPr>
              <w:ind w:left="1000"/>
              <w:spacing w:after="0"/>
              <w:rPr>
                <w:sz w:val="20"/>
                <w:szCs w:val="20"/>
                <w:color w:val="auto"/>
              </w:rPr>
            </w:pPr>
            <w:r>
              <w:rPr>
                <w:rFonts w:ascii="Arial" w:cs="Arial" w:eastAsia="Arial" w:hAnsi="Arial"/>
                <w:sz w:val="16"/>
                <w:szCs w:val="16"/>
                <w:color w:val="auto"/>
              </w:rPr>
              <w:t>1.9 Yrs</w:t>
            </w: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5,076</w:t>
            </w:r>
          </w:p>
        </w:tc>
        <w:tc>
          <w:tcPr>
            <w:tcW w:w="2760" w:type="dxa"/>
            <w:vAlign w:val="bottom"/>
          </w:tcPr>
          <w:p>
            <w:pPr>
              <w:spacing w:after="0"/>
              <w:rPr>
                <w:sz w:val="24"/>
                <w:szCs w:val="24"/>
                <w:color w:val="auto"/>
              </w:rPr>
            </w:pPr>
          </w:p>
        </w:tc>
      </w:tr>
      <w:tr>
        <w:trPr>
          <w:trHeight w:val="693"/>
        </w:trPr>
        <w:tc>
          <w:tcPr>
            <w:tcW w:w="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- 44 -</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91"/>
        </w:trPr>
        <w:tc>
          <w:tcPr>
            <w:tcW w:w="280" w:type="dxa"/>
            <w:vAlign w:val="bottom"/>
            <w:tcBorders>
              <w:bottom w:val="single" w:sz="8" w:color="808080"/>
            </w:tcBorders>
          </w:tcPr>
          <w:p>
            <w:pPr>
              <w:spacing w:after="0"/>
              <w:rPr>
                <w:sz w:val="16"/>
                <w:szCs w:val="16"/>
                <w:color w:val="auto"/>
              </w:rPr>
            </w:pPr>
          </w:p>
        </w:tc>
        <w:tc>
          <w:tcPr>
            <w:tcW w:w="338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152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40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27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91" w:right="21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2460"/>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17" w:lineRule="exact"/>
        <w:rPr>
          <w:sz w:val="20"/>
          <w:szCs w:val="20"/>
          <w:color w:val="auto"/>
        </w:rPr>
      </w:pPr>
    </w:p>
    <w:p>
      <w:pPr>
        <w:jc w:val="center"/>
        <w:ind w:right="2460"/>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jc w:val="center"/>
        <w:ind w:right="2460"/>
        <w:spacing w:after="0"/>
        <w:rPr>
          <w:sz w:val="20"/>
          <w:szCs w:val="20"/>
          <w:color w:val="auto"/>
        </w:rPr>
      </w:pPr>
      <w:r>
        <w:rPr>
          <w:rFonts w:ascii="Arial" w:cs="Arial" w:eastAsia="Arial" w:hAnsi="Arial"/>
          <w:sz w:val="16"/>
          <w:szCs w:val="16"/>
          <w:b w:val="1"/>
          <w:bCs w:val="1"/>
          <w:color w:val="auto"/>
        </w:rPr>
        <w:t>(Continued)</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(6)  STOCK-BASED COMPENSATION PLANS, continued</w:t>
      </w:r>
    </w:p>
    <w:p>
      <w:pPr>
        <w:spacing w:after="0" w:line="180"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2008</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74"/>
        </w:trPr>
        <w:tc>
          <w:tcPr>
            <w:tcW w:w="3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39"/>
              <w:spacing w:after="0" w:line="174" w:lineRule="exact"/>
              <w:rPr>
                <w:sz w:val="20"/>
                <w:szCs w:val="20"/>
                <w:color w:val="auto"/>
              </w:rPr>
            </w:pPr>
            <w:r>
              <w:rPr>
                <w:rFonts w:ascii="Arial" w:cs="Arial" w:eastAsia="Arial" w:hAnsi="Arial"/>
                <w:sz w:val="16"/>
                <w:szCs w:val="16"/>
                <w:color w:val="auto"/>
              </w:rPr>
              <w:t>Aggregate</w:t>
            </w:r>
          </w:p>
        </w:tc>
        <w:tc>
          <w:tcPr>
            <w:tcW w:w="60" w:type="dxa"/>
            <w:vAlign w:val="bottom"/>
          </w:tcPr>
          <w:p>
            <w:pPr>
              <w:spacing w:after="0"/>
              <w:rPr>
                <w:sz w:val="15"/>
                <w:szCs w:val="15"/>
                <w:color w:val="auto"/>
              </w:rPr>
            </w:pPr>
          </w:p>
        </w:tc>
      </w:tr>
      <w:tr>
        <w:trPr>
          <w:trHeight w:val="182"/>
        </w:trPr>
        <w:tc>
          <w:tcPr>
            <w:tcW w:w="3380" w:type="dxa"/>
            <w:vAlign w:val="bottom"/>
          </w:tcPr>
          <w:p>
            <w:pPr>
              <w:spacing w:after="0"/>
              <w:rPr>
                <w:sz w:val="15"/>
                <w:szCs w:val="15"/>
                <w:color w:val="auto"/>
              </w:rPr>
            </w:pPr>
          </w:p>
        </w:tc>
        <w:tc>
          <w:tcPr>
            <w:tcW w:w="1060" w:type="dxa"/>
            <w:vAlign w:val="bottom"/>
            <w:gridSpan w:val="2"/>
          </w:tcPr>
          <w:p>
            <w:pPr>
              <w:jc w:val="center"/>
              <w:ind w:right="260"/>
              <w:spacing w:after="0" w:line="182" w:lineRule="exact"/>
              <w:rPr>
                <w:sz w:val="20"/>
                <w:szCs w:val="20"/>
                <w:color w:val="auto"/>
              </w:rPr>
            </w:pPr>
            <w:r>
              <w:rPr>
                <w:rFonts w:ascii="Arial" w:cs="Arial" w:eastAsia="Arial" w:hAnsi="Arial"/>
                <w:sz w:val="16"/>
                <w:szCs w:val="16"/>
                <w:color w:val="auto"/>
              </w:rPr>
              <w:t>Shares</w:t>
            </w:r>
          </w:p>
        </w:tc>
        <w:tc>
          <w:tcPr>
            <w:tcW w:w="1100" w:type="dxa"/>
            <w:vAlign w:val="bottom"/>
            <w:gridSpan w:val="3"/>
          </w:tcPr>
          <w:p>
            <w:pPr>
              <w:jc w:val="center"/>
              <w:ind w:right="280"/>
              <w:spacing w:after="0" w:line="182" w:lineRule="exact"/>
              <w:rPr>
                <w:sz w:val="20"/>
                <w:szCs w:val="20"/>
                <w:color w:val="auto"/>
              </w:rPr>
            </w:pPr>
            <w:r>
              <w:rPr>
                <w:rFonts w:ascii="Arial" w:cs="Arial" w:eastAsia="Arial" w:hAnsi="Arial"/>
                <w:sz w:val="16"/>
                <w:szCs w:val="16"/>
                <w:color w:val="auto"/>
              </w:rPr>
              <w:t>Wtd. Avg.</w:t>
            </w:r>
          </w:p>
        </w:tc>
        <w:tc>
          <w:tcPr>
            <w:tcW w:w="1800" w:type="dxa"/>
            <w:vAlign w:val="bottom"/>
            <w:gridSpan w:val="2"/>
          </w:tcPr>
          <w:p>
            <w:pPr>
              <w:jc w:val="center"/>
              <w:ind w:right="260"/>
              <w:spacing w:after="0" w:line="182" w:lineRule="exact"/>
              <w:rPr>
                <w:sz w:val="20"/>
                <w:szCs w:val="20"/>
                <w:color w:val="auto"/>
              </w:rPr>
            </w:pPr>
            <w:r>
              <w:rPr>
                <w:rFonts w:ascii="Arial" w:cs="Arial" w:eastAsia="Arial" w:hAnsi="Arial"/>
                <w:sz w:val="16"/>
                <w:szCs w:val="16"/>
                <w:color w:val="auto"/>
                <w:w w:val="99"/>
              </w:rPr>
              <w:t>Wtd. Avg. Remaining</w:t>
            </w:r>
          </w:p>
        </w:tc>
        <w:tc>
          <w:tcPr>
            <w:tcW w:w="1060" w:type="dxa"/>
            <w:vAlign w:val="bottom"/>
            <w:gridSpan w:val="3"/>
          </w:tcPr>
          <w:p>
            <w:pPr>
              <w:spacing w:after="0" w:line="182" w:lineRule="exact"/>
              <w:rPr>
                <w:sz w:val="20"/>
                <w:szCs w:val="20"/>
                <w:color w:val="auto"/>
              </w:rPr>
            </w:pPr>
            <w:r>
              <w:rPr>
                <w:rFonts w:ascii="Arial" w:cs="Arial" w:eastAsia="Arial" w:hAnsi="Arial"/>
                <w:sz w:val="16"/>
                <w:szCs w:val="16"/>
                <w:color w:val="auto"/>
              </w:rPr>
              <w:t>Intrinsic Value</w:t>
            </w:r>
          </w:p>
        </w:tc>
      </w:tr>
      <w:tr>
        <w:trPr>
          <w:trHeight w:val="183"/>
        </w:trPr>
        <w:tc>
          <w:tcPr>
            <w:tcW w:w="338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000</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Ex. Price</w:t>
            </w:r>
          </w:p>
        </w:tc>
        <w:tc>
          <w:tcPr>
            <w:tcW w:w="28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Contract Life</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$000</w:t>
            </w:r>
          </w:p>
        </w:tc>
        <w:tc>
          <w:tcPr>
            <w:tcW w:w="60" w:type="dxa"/>
            <w:vAlign w:val="bottom"/>
          </w:tcPr>
          <w:p>
            <w:pPr>
              <w:spacing w:after="0"/>
              <w:rPr>
                <w:sz w:val="15"/>
                <w:szCs w:val="15"/>
                <w:color w:val="auto"/>
              </w:rPr>
            </w:pPr>
          </w:p>
        </w:tc>
      </w:tr>
      <w:tr>
        <w:trPr>
          <w:trHeight w:val="174"/>
        </w:trPr>
        <w:tc>
          <w:tcPr>
            <w:tcW w:w="33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Outstanding at Beginning of Year</w:t>
            </w:r>
          </w:p>
        </w:tc>
        <w:tc>
          <w:tcPr>
            <w:tcW w:w="1060" w:type="dxa"/>
            <w:vAlign w:val="bottom"/>
            <w:gridSpan w:val="2"/>
            <w:shd w:val="clear" w:color="auto" w:fill="CCEEFF"/>
          </w:tcPr>
          <w:p>
            <w:pPr>
              <w:jc w:val="right"/>
              <w:ind w:right="280"/>
              <w:spacing w:after="0" w:line="175" w:lineRule="exact"/>
              <w:rPr>
                <w:sz w:val="20"/>
                <w:szCs w:val="20"/>
                <w:color w:val="auto"/>
              </w:rPr>
            </w:pPr>
            <w:r>
              <w:rPr>
                <w:rFonts w:ascii="Arial" w:cs="Arial" w:eastAsia="Arial" w:hAnsi="Arial"/>
                <w:sz w:val="16"/>
                <w:szCs w:val="16"/>
                <w:color w:val="auto"/>
              </w:rPr>
              <w:t>9,300</w:t>
            </w:r>
          </w:p>
        </w:tc>
        <w:tc>
          <w:tcPr>
            <w:tcW w:w="1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260"/>
              <w:spacing w:after="0" w:line="175" w:lineRule="exact"/>
              <w:rPr>
                <w:sz w:val="20"/>
                <w:szCs w:val="20"/>
                <w:color w:val="auto"/>
              </w:rPr>
            </w:pPr>
            <w:r>
              <w:rPr>
                <w:rFonts w:ascii="Arial" w:cs="Arial" w:eastAsia="Arial" w:hAnsi="Arial"/>
                <w:sz w:val="16"/>
                <w:szCs w:val="16"/>
                <w:color w:val="auto"/>
              </w:rPr>
              <w:t>18</w:t>
            </w:r>
          </w:p>
        </w:tc>
        <w:tc>
          <w:tcPr>
            <w:tcW w:w="1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2"/>
        </w:trPr>
        <w:tc>
          <w:tcPr>
            <w:tcW w:w="3380" w:type="dxa"/>
            <w:vAlign w:val="bottom"/>
          </w:tcPr>
          <w:p>
            <w:pPr>
              <w:ind w:left="20"/>
              <w:spacing w:after="0" w:line="182" w:lineRule="exact"/>
              <w:rPr>
                <w:sz w:val="20"/>
                <w:szCs w:val="20"/>
                <w:color w:val="auto"/>
              </w:rPr>
            </w:pPr>
            <w:r>
              <w:rPr>
                <w:rFonts w:ascii="Arial" w:cs="Arial" w:eastAsia="Arial" w:hAnsi="Arial"/>
                <w:sz w:val="16"/>
                <w:szCs w:val="16"/>
                <w:color w:val="auto"/>
              </w:rPr>
              <w:t>Granted</w:t>
            </w:r>
          </w:p>
        </w:tc>
        <w:tc>
          <w:tcPr>
            <w:tcW w:w="1060" w:type="dxa"/>
            <w:vAlign w:val="bottom"/>
            <w:gridSpan w:val="2"/>
          </w:tcPr>
          <w:p>
            <w:pPr>
              <w:jc w:val="right"/>
              <w:ind w:right="280"/>
              <w:spacing w:after="0" w:line="182" w:lineRule="exact"/>
              <w:rPr>
                <w:sz w:val="20"/>
                <w:szCs w:val="20"/>
                <w:color w:val="auto"/>
              </w:rPr>
            </w:pPr>
            <w:r>
              <w:rPr>
                <w:rFonts w:ascii="Arial" w:cs="Arial" w:eastAsia="Arial" w:hAnsi="Arial"/>
                <w:sz w:val="16"/>
                <w:szCs w:val="16"/>
                <w:color w:val="auto"/>
              </w:rPr>
              <w:t>1,966</w:t>
            </w:r>
          </w:p>
        </w:tc>
        <w:tc>
          <w:tcPr>
            <w:tcW w:w="100" w:type="dxa"/>
            <w:vAlign w:val="bottom"/>
          </w:tcPr>
          <w:p>
            <w:pPr>
              <w:spacing w:after="0"/>
              <w:rPr>
                <w:sz w:val="15"/>
                <w:szCs w:val="15"/>
                <w:color w:val="auto"/>
              </w:rPr>
            </w:pPr>
          </w:p>
        </w:tc>
        <w:tc>
          <w:tcPr>
            <w:tcW w:w="1000" w:type="dxa"/>
            <w:vAlign w:val="bottom"/>
            <w:gridSpan w:val="2"/>
          </w:tcPr>
          <w:p>
            <w:pPr>
              <w:jc w:val="right"/>
              <w:ind w:right="260"/>
              <w:spacing w:after="0" w:line="182" w:lineRule="exact"/>
              <w:rPr>
                <w:sz w:val="20"/>
                <w:szCs w:val="20"/>
                <w:color w:val="auto"/>
              </w:rPr>
            </w:pPr>
            <w:r>
              <w:rPr>
                <w:rFonts w:ascii="Arial" w:cs="Arial" w:eastAsia="Arial" w:hAnsi="Arial"/>
                <w:sz w:val="16"/>
                <w:szCs w:val="16"/>
                <w:color w:val="auto"/>
              </w:rPr>
              <w:t>14</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33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Exercised</w:t>
            </w:r>
          </w:p>
        </w:tc>
        <w:tc>
          <w:tcPr>
            <w:tcW w:w="106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6"/>
                <w:szCs w:val="16"/>
                <w:color w:val="auto"/>
              </w:rPr>
              <w:t>(689)</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15</w:t>
            </w:r>
          </w:p>
        </w:tc>
        <w:tc>
          <w:tcPr>
            <w:tcW w:w="1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1,777</w:t>
            </w:r>
          </w:p>
        </w:tc>
      </w:tr>
      <w:tr>
        <w:trPr>
          <w:trHeight w:val="182"/>
        </w:trPr>
        <w:tc>
          <w:tcPr>
            <w:tcW w:w="3380" w:type="dxa"/>
            <w:vAlign w:val="bottom"/>
          </w:tcPr>
          <w:p>
            <w:pPr>
              <w:ind w:left="20"/>
              <w:spacing w:after="0" w:line="182" w:lineRule="exact"/>
              <w:rPr>
                <w:sz w:val="20"/>
                <w:szCs w:val="20"/>
                <w:color w:val="auto"/>
              </w:rPr>
            </w:pPr>
            <w:r>
              <w:rPr>
                <w:rFonts w:ascii="Arial" w:cs="Arial" w:eastAsia="Arial" w:hAnsi="Arial"/>
                <w:sz w:val="16"/>
                <w:szCs w:val="16"/>
                <w:color w:val="auto"/>
              </w:rPr>
              <w:t>Forfeited/Expired</w:t>
            </w:r>
          </w:p>
        </w:tc>
        <w:tc>
          <w:tcPr>
            <w:tcW w:w="1060" w:type="dxa"/>
            <w:vAlign w:val="bottom"/>
            <w:gridSpan w:val="2"/>
          </w:tcPr>
          <w:p>
            <w:pPr>
              <w:jc w:val="right"/>
              <w:ind w:right="220"/>
              <w:spacing w:after="0" w:line="182" w:lineRule="exact"/>
              <w:rPr>
                <w:sz w:val="20"/>
                <w:szCs w:val="20"/>
                <w:color w:val="auto"/>
              </w:rPr>
            </w:pPr>
            <w:r>
              <w:rPr>
                <w:rFonts w:ascii="Arial" w:cs="Arial" w:eastAsia="Arial" w:hAnsi="Arial"/>
                <w:sz w:val="16"/>
                <w:szCs w:val="16"/>
                <w:color w:val="auto"/>
              </w:rPr>
              <w:t>(1,185)</w:t>
            </w:r>
          </w:p>
        </w:tc>
        <w:tc>
          <w:tcPr>
            <w:tcW w:w="100" w:type="dxa"/>
            <w:vAlign w:val="bottom"/>
          </w:tcPr>
          <w:p>
            <w:pPr>
              <w:spacing w:after="0"/>
              <w:rPr>
                <w:sz w:val="15"/>
                <w:szCs w:val="15"/>
                <w:color w:val="auto"/>
              </w:rPr>
            </w:pPr>
          </w:p>
        </w:tc>
        <w:tc>
          <w:tcPr>
            <w:tcW w:w="1000" w:type="dxa"/>
            <w:vAlign w:val="bottom"/>
            <w:gridSpan w:val="2"/>
          </w:tcPr>
          <w:p>
            <w:pPr>
              <w:jc w:val="right"/>
              <w:ind w:right="260"/>
              <w:spacing w:after="0" w:line="182" w:lineRule="exact"/>
              <w:rPr>
                <w:sz w:val="20"/>
                <w:szCs w:val="20"/>
                <w:color w:val="auto"/>
              </w:rPr>
            </w:pPr>
            <w:r>
              <w:rPr>
                <w:rFonts w:ascii="Arial" w:cs="Arial" w:eastAsia="Arial" w:hAnsi="Arial"/>
                <w:sz w:val="16"/>
                <w:szCs w:val="16"/>
                <w:color w:val="auto"/>
              </w:rPr>
              <w:t>19</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33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33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Outstanding at End of Year</w:t>
            </w:r>
          </w:p>
        </w:tc>
        <w:tc>
          <w:tcPr>
            <w:tcW w:w="106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6"/>
                <w:szCs w:val="16"/>
                <w:color w:val="auto"/>
              </w:rPr>
              <w:t>9,392</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17</w:t>
            </w:r>
          </w:p>
        </w:tc>
        <w:tc>
          <w:tcPr>
            <w:tcW w:w="1800" w:type="dxa"/>
            <w:vAlign w:val="bottom"/>
            <w:gridSpan w:val="2"/>
            <w:shd w:val="clear" w:color="auto" w:fill="CCEEFF"/>
          </w:tcPr>
          <w:p>
            <w:pPr>
              <w:ind w:left="1000"/>
              <w:spacing w:after="0" w:line="182" w:lineRule="exact"/>
              <w:rPr>
                <w:sz w:val="20"/>
                <w:szCs w:val="20"/>
                <w:color w:val="auto"/>
              </w:rPr>
            </w:pPr>
            <w:r>
              <w:rPr>
                <w:rFonts w:ascii="Arial" w:cs="Arial" w:eastAsia="Arial" w:hAnsi="Arial"/>
                <w:sz w:val="16"/>
                <w:szCs w:val="16"/>
                <w:color w:val="auto"/>
              </w:rPr>
              <w:t>2.9 Yrs</w:t>
            </w:r>
          </w:p>
        </w:tc>
        <w:tc>
          <w:tcPr>
            <w:tcW w:w="1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216</w:t>
            </w:r>
          </w:p>
        </w:tc>
      </w:tr>
      <w:tr>
        <w:trPr>
          <w:trHeight w:val="376"/>
        </w:trPr>
        <w:tc>
          <w:tcPr>
            <w:tcW w:w="3380" w:type="dxa"/>
            <w:vAlign w:val="bottom"/>
          </w:tcPr>
          <w:p>
            <w:pPr>
              <w:ind w:left="20"/>
              <w:spacing w:after="0"/>
              <w:rPr>
                <w:sz w:val="20"/>
                <w:szCs w:val="20"/>
                <w:color w:val="auto"/>
              </w:rPr>
            </w:pPr>
            <w:r>
              <w:rPr>
                <w:rFonts w:ascii="Arial" w:cs="Arial" w:eastAsia="Arial" w:hAnsi="Arial"/>
                <w:sz w:val="16"/>
                <w:szCs w:val="16"/>
                <w:color w:val="auto"/>
              </w:rPr>
              <w:t>Exercisable at End of Year</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4,769</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18</w:t>
            </w:r>
          </w:p>
        </w:tc>
        <w:tc>
          <w:tcPr>
            <w:tcW w:w="1800" w:type="dxa"/>
            <w:vAlign w:val="bottom"/>
            <w:gridSpan w:val="2"/>
          </w:tcPr>
          <w:p>
            <w:pPr>
              <w:ind w:left="1000"/>
              <w:spacing w:after="0"/>
              <w:rPr>
                <w:sz w:val="20"/>
                <w:szCs w:val="20"/>
                <w:color w:val="auto"/>
              </w:rPr>
            </w:pPr>
            <w:r>
              <w:rPr>
                <w:rFonts w:ascii="Arial" w:cs="Arial" w:eastAsia="Arial" w:hAnsi="Arial"/>
                <w:sz w:val="16"/>
                <w:szCs w:val="16"/>
                <w:color w:val="auto"/>
              </w:rPr>
              <w:t>1.7 Yrs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0</w:t>
            </w:r>
          </w:p>
        </w:tc>
      </w:tr>
      <w:tr>
        <w:trPr>
          <w:trHeight w:val="353"/>
        </w:trPr>
        <w:tc>
          <w:tcPr>
            <w:tcW w:w="33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2007</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74"/>
        </w:trPr>
        <w:tc>
          <w:tcPr>
            <w:tcW w:w="3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39"/>
              <w:spacing w:after="0" w:line="174" w:lineRule="exact"/>
              <w:rPr>
                <w:sz w:val="20"/>
                <w:szCs w:val="20"/>
                <w:color w:val="auto"/>
              </w:rPr>
            </w:pPr>
            <w:r>
              <w:rPr>
                <w:rFonts w:ascii="Arial" w:cs="Arial" w:eastAsia="Arial" w:hAnsi="Arial"/>
                <w:sz w:val="16"/>
                <w:szCs w:val="16"/>
                <w:color w:val="auto"/>
              </w:rPr>
              <w:t>Aggregate</w:t>
            </w:r>
          </w:p>
        </w:tc>
        <w:tc>
          <w:tcPr>
            <w:tcW w:w="60" w:type="dxa"/>
            <w:vAlign w:val="bottom"/>
          </w:tcPr>
          <w:p>
            <w:pPr>
              <w:spacing w:after="0"/>
              <w:rPr>
                <w:sz w:val="15"/>
                <w:szCs w:val="15"/>
                <w:color w:val="auto"/>
              </w:rPr>
            </w:pPr>
          </w:p>
        </w:tc>
      </w:tr>
      <w:tr>
        <w:trPr>
          <w:trHeight w:val="182"/>
        </w:trPr>
        <w:tc>
          <w:tcPr>
            <w:tcW w:w="3380" w:type="dxa"/>
            <w:vAlign w:val="bottom"/>
          </w:tcPr>
          <w:p>
            <w:pPr>
              <w:spacing w:after="0"/>
              <w:rPr>
                <w:sz w:val="15"/>
                <w:szCs w:val="15"/>
                <w:color w:val="auto"/>
              </w:rPr>
            </w:pPr>
          </w:p>
        </w:tc>
        <w:tc>
          <w:tcPr>
            <w:tcW w:w="1060" w:type="dxa"/>
            <w:vAlign w:val="bottom"/>
            <w:gridSpan w:val="2"/>
          </w:tcPr>
          <w:p>
            <w:pPr>
              <w:jc w:val="center"/>
              <w:ind w:right="300"/>
              <w:spacing w:after="0" w:line="182" w:lineRule="exact"/>
              <w:rPr>
                <w:sz w:val="20"/>
                <w:szCs w:val="20"/>
                <w:color w:val="auto"/>
              </w:rPr>
            </w:pPr>
            <w:r>
              <w:rPr>
                <w:rFonts w:ascii="Arial" w:cs="Arial" w:eastAsia="Arial" w:hAnsi="Arial"/>
                <w:sz w:val="16"/>
                <w:szCs w:val="16"/>
                <w:color w:val="auto"/>
              </w:rPr>
              <w:t>Shares</w:t>
            </w:r>
          </w:p>
        </w:tc>
        <w:tc>
          <w:tcPr>
            <w:tcW w:w="1100" w:type="dxa"/>
            <w:vAlign w:val="bottom"/>
            <w:gridSpan w:val="3"/>
          </w:tcPr>
          <w:p>
            <w:pPr>
              <w:jc w:val="center"/>
              <w:ind w:right="280"/>
              <w:spacing w:after="0" w:line="182" w:lineRule="exact"/>
              <w:rPr>
                <w:sz w:val="20"/>
                <w:szCs w:val="20"/>
                <w:color w:val="auto"/>
              </w:rPr>
            </w:pPr>
            <w:r>
              <w:rPr>
                <w:rFonts w:ascii="Arial" w:cs="Arial" w:eastAsia="Arial" w:hAnsi="Arial"/>
                <w:sz w:val="16"/>
                <w:szCs w:val="16"/>
                <w:color w:val="auto"/>
              </w:rPr>
              <w:t>Wtd. Avg.</w:t>
            </w:r>
          </w:p>
        </w:tc>
        <w:tc>
          <w:tcPr>
            <w:tcW w:w="1800" w:type="dxa"/>
            <w:vAlign w:val="bottom"/>
            <w:gridSpan w:val="2"/>
          </w:tcPr>
          <w:p>
            <w:pPr>
              <w:jc w:val="center"/>
              <w:ind w:right="260"/>
              <w:spacing w:after="0" w:line="182" w:lineRule="exact"/>
              <w:rPr>
                <w:sz w:val="20"/>
                <w:szCs w:val="20"/>
                <w:color w:val="auto"/>
              </w:rPr>
            </w:pPr>
            <w:r>
              <w:rPr>
                <w:rFonts w:ascii="Arial" w:cs="Arial" w:eastAsia="Arial" w:hAnsi="Arial"/>
                <w:sz w:val="16"/>
                <w:szCs w:val="16"/>
                <w:color w:val="auto"/>
                <w:w w:val="99"/>
              </w:rPr>
              <w:t>Wtd. Avg. Remaining</w:t>
            </w:r>
          </w:p>
        </w:tc>
        <w:tc>
          <w:tcPr>
            <w:tcW w:w="1060" w:type="dxa"/>
            <w:vAlign w:val="bottom"/>
            <w:gridSpan w:val="3"/>
          </w:tcPr>
          <w:p>
            <w:pPr>
              <w:spacing w:after="0" w:line="182" w:lineRule="exact"/>
              <w:rPr>
                <w:sz w:val="20"/>
                <w:szCs w:val="20"/>
                <w:color w:val="auto"/>
              </w:rPr>
            </w:pPr>
            <w:r>
              <w:rPr>
                <w:rFonts w:ascii="Arial" w:cs="Arial" w:eastAsia="Arial" w:hAnsi="Arial"/>
                <w:sz w:val="16"/>
                <w:szCs w:val="16"/>
                <w:color w:val="auto"/>
              </w:rPr>
              <w:t>Intrinsic Value</w:t>
            </w:r>
          </w:p>
        </w:tc>
      </w:tr>
      <w:tr>
        <w:trPr>
          <w:trHeight w:val="183"/>
        </w:trPr>
        <w:tc>
          <w:tcPr>
            <w:tcW w:w="338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000</w:t>
            </w:r>
          </w:p>
        </w:tc>
        <w:tc>
          <w:tcPr>
            <w:tcW w:w="280" w:type="dxa"/>
            <w:vAlign w:val="bottom"/>
          </w:tcPr>
          <w:p>
            <w:pPr>
              <w:spacing w:after="0"/>
              <w:rPr>
                <w:sz w:val="15"/>
                <w:szCs w:val="15"/>
                <w:color w:val="auto"/>
              </w:rPr>
            </w:pPr>
          </w:p>
        </w:tc>
        <w:tc>
          <w:tcPr>
            <w:tcW w:w="82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color w:val="auto"/>
              </w:rPr>
              <w:t>Ex. Price</w:t>
            </w:r>
          </w:p>
        </w:tc>
        <w:tc>
          <w:tcPr>
            <w:tcW w:w="28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Contract Life</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19"/>
              <w:spacing w:after="0"/>
              <w:rPr>
                <w:sz w:val="20"/>
                <w:szCs w:val="20"/>
                <w:color w:val="auto"/>
              </w:rPr>
            </w:pPr>
            <w:r>
              <w:rPr>
                <w:rFonts w:ascii="Arial" w:cs="Arial" w:eastAsia="Arial" w:hAnsi="Arial"/>
                <w:sz w:val="16"/>
                <w:szCs w:val="16"/>
                <w:color w:val="auto"/>
              </w:rPr>
              <w:t>$000</w:t>
            </w:r>
          </w:p>
        </w:tc>
        <w:tc>
          <w:tcPr>
            <w:tcW w:w="60" w:type="dxa"/>
            <w:vAlign w:val="bottom"/>
          </w:tcPr>
          <w:p>
            <w:pPr>
              <w:spacing w:after="0"/>
              <w:rPr>
                <w:sz w:val="15"/>
                <w:szCs w:val="15"/>
                <w:color w:val="auto"/>
              </w:rPr>
            </w:pPr>
          </w:p>
        </w:tc>
      </w:tr>
      <w:tr>
        <w:trPr>
          <w:trHeight w:val="174"/>
        </w:trPr>
        <w:tc>
          <w:tcPr>
            <w:tcW w:w="33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Outstanding at Beginning of Year</w:t>
            </w:r>
          </w:p>
        </w:tc>
        <w:tc>
          <w:tcPr>
            <w:tcW w:w="780" w:type="dxa"/>
            <w:vAlign w:val="bottom"/>
            <w:shd w:val="clear" w:color="auto" w:fill="CCEEFF"/>
          </w:tcPr>
          <w:p>
            <w:pPr>
              <w:jc w:val="right"/>
              <w:spacing w:after="0" w:line="175" w:lineRule="exact"/>
              <w:rPr>
                <w:sz w:val="20"/>
                <w:szCs w:val="20"/>
                <w:color w:val="auto"/>
              </w:rPr>
            </w:pPr>
            <w:r>
              <w:rPr>
                <w:rFonts w:ascii="Arial" w:cs="Arial" w:eastAsia="Arial" w:hAnsi="Arial"/>
                <w:sz w:val="16"/>
                <w:szCs w:val="16"/>
                <w:color w:val="auto"/>
              </w:rPr>
              <w:t>10,400</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w w:val="89"/>
              </w:rPr>
              <w:t>$</w:t>
            </w:r>
          </w:p>
        </w:tc>
        <w:tc>
          <w:tcPr>
            <w:tcW w:w="1000" w:type="dxa"/>
            <w:vAlign w:val="bottom"/>
            <w:gridSpan w:val="2"/>
            <w:shd w:val="clear" w:color="auto" w:fill="CCEEFF"/>
          </w:tcPr>
          <w:p>
            <w:pPr>
              <w:jc w:val="right"/>
              <w:ind w:right="260"/>
              <w:spacing w:after="0" w:line="175" w:lineRule="exact"/>
              <w:rPr>
                <w:sz w:val="20"/>
                <w:szCs w:val="20"/>
                <w:color w:val="auto"/>
              </w:rPr>
            </w:pPr>
            <w:r>
              <w:rPr>
                <w:rFonts w:ascii="Arial" w:cs="Arial" w:eastAsia="Arial" w:hAnsi="Arial"/>
                <w:sz w:val="16"/>
                <w:szCs w:val="16"/>
                <w:color w:val="auto"/>
              </w:rPr>
              <w:t>17</w:t>
            </w:r>
          </w:p>
        </w:tc>
        <w:tc>
          <w:tcPr>
            <w:tcW w:w="1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2"/>
        </w:trPr>
        <w:tc>
          <w:tcPr>
            <w:tcW w:w="3380" w:type="dxa"/>
            <w:vAlign w:val="bottom"/>
          </w:tcPr>
          <w:p>
            <w:pPr>
              <w:ind w:left="20"/>
              <w:spacing w:after="0" w:line="182" w:lineRule="exact"/>
              <w:rPr>
                <w:sz w:val="20"/>
                <w:szCs w:val="20"/>
                <w:color w:val="auto"/>
              </w:rPr>
            </w:pPr>
            <w:r>
              <w:rPr>
                <w:rFonts w:ascii="Arial" w:cs="Arial" w:eastAsia="Arial" w:hAnsi="Arial"/>
                <w:sz w:val="16"/>
                <w:szCs w:val="16"/>
                <w:color w:val="auto"/>
              </w:rPr>
              <w:t>Granted</w:t>
            </w:r>
          </w:p>
        </w:tc>
        <w:tc>
          <w:tcPr>
            <w:tcW w:w="780" w:type="dxa"/>
            <w:vAlign w:val="bottom"/>
          </w:tcPr>
          <w:p>
            <w:pPr>
              <w:jc w:val="right"/>
              <w:spacing w:after="0" w:line="182" w:lineRule="exact"/>
              <w:rPr>
                <w:sz w:val="20"/>
                <w:szCs w:val="20"/>
                <w:color w:val="auto"/>
              </w:rPr>
            </w:pPr>
            <w:r>
              <w:rPr>
                <w:rFonts w:ascii="Arial" w:cs="Arial" w:eastAsia="Arial" w:hAnsi="Arial"/>
                <w:sz w:val="16"/>
                <w:szCs w:val="16"/>
                <w:color w:val="auto"/>
              </w:rPr>
              <w:t>1,838</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260"/>
              <w:spacing w:after="0" w:line="182" w:lineRule="exact"/>
              <w:rPr>
                <w:sz w:val="20"/>
                <w:szCs w:val="20"/>
                <w:color w:val="auto"/>
              </w:rPr>
            </w:pPr>
            <w:r>
              <w:rPr>
                <w:rFonts w:ascii="Arial" w:cs="Arial" w:eastAsia="Arial" w:hAnsi="Arial"/>
                <w:sz w:val="16"/>
                <w:szCs w:val="16"/>
                <w:color w:val="auto"/>
              </w:rPr>
              <w:t>19</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33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Exercised</w:t>
            </w:r>
          </w:p>
        </w:tc>
        <w:tc>
          <w:tcPr>
            <w:tcW w:w="106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(2,574)</w:t>
            </w: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15</w:t>
            </w:r>
          </w:p>
        </w:tc>
        <w:tc>
          <w:tcPr>
            <w:tcW w:w="1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11,217</w:t>
            </w:r>
          </w:p>
        </w:tc>
      </w:tr>
      <w:tr>
        <w:trPr>
          <w:trHeight w:val="182"/>
        </w:trPr>
        <w:tc>
          <w:tcPr>
            <w:tcW w:w="3380" w:type="dxa"/>
            <w:vAlign w:val="bottom"/>
          </w:tcPr>
          <w:p>
            <w:pPr>
              <w:ind w:left="20"/>
              <w:spacing w:after="0" w:line="182" w:lineRule="exact"/>
              <w:rPr>
                <w:sz w:val="20"/>
                <w:szCs w:val="20"/>
                <w:color w:val="auto"/>
              </w:rPr>
            </w:pPr>
            <w:r>
              <w:rPr>
                <w:rFonts w:ascii="Arial" w:cs="Arial" w:eastAsia="Arial" w:hAnsi="Arial"/>
                <w:sz w:val="16"/>
                <w:szCs w:val="16"/>
                <w:color w:val="auto"/>
              </w:rPr>
              <w:t>Forfeited</w:t>
            </w:r>
          </w:p>
        </w:tc>
        <w:tc>
          <w:tcPr>
            <w:tcW w:w="106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(364)</w:t>
            </w:r>
          </w:p>
        </w:tc>
        <w:tc>
          <w:tcPr>
            <w:tcW w:w="100" w:type="dxa"/>
            <w:vAlign w:val="bottom"/>
          </w:tcPr>
          <w:p>
            <w:pPr>
              <w:spacing w:after="0"/>
              <w:rPr>
                <w:sz w:val="15"/>
                <w:szCs w:val="15"/>
                <w:color w:val="auto"/>
              </w:rPr>
            </w:pPr>
          </w:p>
        </w:tc>
        <w:tc>
          <w:tcPr>
            <w:tcW w:w="1000" w:type="dxa"/>
            <w:vAlign w:val="bottom"/>
            <w:gridSpan w:val="2"/>
          </w:tcPr>
          <w:p>
            <w:pPr>
              <w:jc w:val="right"/>
              <w:ind w:right="260"/>
              <w:spacing w:after="0" w:line="182" w:lineRule="exact"/>
              <w:rPr>
                <w:sz w:val="20"/>
                <w:szCs w:val="20"/>
                <w:color w:val="auto"/>
              </w:rPr>
            </w:pPr>
            <w:r>
              <w:rPr>
                <w:rFonts w:ascii="Arial" w:cs="Arial" w:eastAsia="Arial" w:hAnsi="Arial"/>
                <w:sz w:val="16"/>
                <w:szCs w:val="16"/>
                <w:color w:val="auto"/>
              </w:rPr>
              <w:t>18</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33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33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Outstanding at End of Year</w:t>
            </w: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rPr>
              <w:t>9,300</w:t>
            </w: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18</w:t>
            </w:r>
          </w:p>
        </w:tc>
        <w:tc>
          <w:tcPr>
            <w:tcW w:w="1800" w:type="dxa"/>
            <w:vAlign w:val="bottom"/>
            <w:gridSpan w:val="2"/>
            <w:shd w:val="clear" w:color="auto" w:fill="CCEEFF"/>
          </w:tcPr>
          <w:p>
            <w:pPr>
              <w:ind w:left="1000"/>
              <w:spacing w:after="0" w:line="182" w:lineRule="exact"/>
              <w:rPr>
                <w:sz w:val="20"/>
                <w:szCs w:val="20"/>
                <w:color w:val="auto"/>
              </w:rPr>
            </w:pPr>
            <w:r>
              <w:rPr>
                <w:rFonts w:ascii="Arial" w:cs="Arial" w:eastAsia="Arial" w:hAnsi="Arial"/>
                <w:sz w:val="16"/>
                <w:szCs w:val="16"/>
                <w:color w:val="auto"/>
              </w:rPr>
              <w:t>2.9 Yrs</w:t>
            </w:r>
          </w:p>
        </w:tc>
        <w:tc>
          <w:tcPr>
            <w:tcW w:w="1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9,777</w:t>
            </w:r>
          </w:p>
        </w:tc>
      </w:tr>
      <w:tr>
        <w:trPr>
          <w:trHeight w:val="376"/>
        </w:trPr>
        <w:tc>
          <w:tcPr>
            <w:tcW w:w="3380" w:type="dxa"/>
            <w:vAlign w:val="bottom"/>
          </w:tcPr>
          <w:p>
            <w:pPr>
              <w:ind w:left="20"/>
              <w:spacing w:after="0"/>
              <w:rPr>
                <w:sz w:val="20"/>
                <w:szCs w:val="20"/>
                <w:color w:val="auto"/>
              </w:rPr>
            </w:pPr>
            <w:r>
              <w:rPr>
                <w:rFonts w:ascii="Arial" w:cs="Arial" w:eastAsia="Arial" w:hAnsi="Arial"/>
                <w:sz w:val="16"/>
                <w:szCs w:val="16"/>
                <w:color w:val="auto"/>
              </w:rPr>
              <w:t>Exercisable at End of Year</w:t>
            </w:r>
          </w:p>
        </w:tc>
        <w:tc>
          <w:tcPr>
            <w:tcW w:w="780" w:type="dxa"/>
            <w:vAlign w:val="bottom"/>
          </w:tcPr>
          <w:p>
            <w:pPr>
              <w:jc w:val="right"/>
              <w:spacing w:after="0"/>
              <w:rPr>
                <w:sz w:val="20"/>
                <w:szCs w:val="20"/>
                <w:color w:val="auto"/>
              </w:rPr>
            </w:pPr>
            <w:r>
              <w:rPr>
                <w:rFonts w:ascii="Arial" w:cs="Arial" w:eastAsia="Arial" w:hAnsi="Arial"/>
                <w:sz w:val="16"/>
                <w:szCs w:val="16"/>
                <w:color w:val="auto"/>
              </w:rPr>
              <w:t>5,269</w:t>
            </w:r>
          </w:p>
        </w:tc>
        <w:tc>
          <w:tcPr>
            <w:tcW w:w="28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ind w:right="260"/>
              <w:spacing w:after="0"/>
              <w:rPr>
                <w:sz w:val="20"/>
                <w:szCs w:val="20"/>
                <w:color w:val="auto"/>
              </w:rPr>
            </w:pPr>
            <w:r>
              <w:rPr>
                <w:rFonts w:ascii="Arial" w:cs="Arial" w:eastAsia="Arial" w:hAnsi="Arial"/>
                <w:sz w:val="16"/>
                <w:szCs w:val="16"/>
                <w:color w:val="auto"/>
              </w:rPr>
              <w:t>18</w:t>
            </w:r>
          </w:p>
        </w:tc>
        <w:tc>
          <w:tcPr>
            <w:tcW w:w="1800" w:type="dxa"/>
            <w:vAlign w:val="bottom"/>
            <w:gridSpan w:val="2"/>
          </w:tcPr>
          <w:p>
            <w:pPr>
              <w:ind w:left="1000"/>
              <w:spacing w:after="0"/>
              <w:rPr>
                <w:sz w:val="20"/>
                <w:szCs w:val="20"/>
                <w:color w:val="auto"/>
              </w:rPr>
            </w:pPr>
            <w:r>
              <w:rPr>
                <w:rFonts w:ascii="Arial" w:cs="Arial" w:eastAsia="Arial" w:hAnsi="Arial"/>
                <w:sz w:val="16"/>
                <w:szCs w:val="16"/>
                <w:color w:val="auto"/>
              </w:rPr>
              <w:t>1.9 Yrs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60"/>
              <w:spacing w:after="0"/>
              <w:rPr>
                <w:sz w:val="20"/>
                <w:szCs w:val="20"/>
                <w:color w:val="auto"/>
              </w:rPr>
            </w:pPr>
            <w:r>
              <w:rPr>
                <w:rFonts w:ascii="Arial" w:cs="Arial" w:eastAsia="Arial" w:hAnsi="Arial"/>
                <w:sz w:val="16"/>
                <w:szCs w:val="16"/>
                <w:color w:val="auto"/>
              </w:rPr>
              <w:t>4,926</w:t>
            </w:r>
          </w:p>
        </w:tc>
      </w:tr>
    </w:tbl>
    <w:p>
      <w:pPr>
        <w:spacing w:after="0" w:line="14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A summary of the status of the Company’s non-vested employee stock option activity for the years ended</w:t>
      </w:r>
    </w:p>
    <w:p>
      <w:pPr>
        <w:ind w:left="620"/>
        <w:spacing w:after="0"/>
        <w:rPr>
          <w:sz w:val="20"/>
          <w:szCs w:val="20"/>
          <w:color w:val="auto"/>
        </w:rPr>
      </w:pPr>
      <w:r>
        <w:rPr>
          <w:rFonts w:ascii="Arial" w:cs="Arial" w:eastAsia="Arial" w:hAnsi="Arial"/>
          <w:sz w:val="16"/>
          <w:szCs w:val="16"/>
          <w:color w:val="auto"/>
        </w:rPr>
        <w:t>December 31, 2009, 2008, and 2007, are presented in the table and narrative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2009</w:t>
            </w:r>
          </w:p>
        </w:tc>
        <w:tc>
          <w:tcPr>
            <w:tcW w:w="6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2008</w:t>
            </w:r>
          </w:p>
        </w:tc>
        <w:tc>
          <w:tcPr>
            <w:tcW w:w="6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2007</w:t>
            </w:r>
          </w:p>
        </w:tc>
        <w:tc>
          <w:tcPr>
            <w:tcW w:w="660" w:type="dxa"/>
            <w:vAlign w:val="bottom"/>
            <w:tcBorders>
              <w:bottom w:val="single" w:sz="8" w:color="auto"/>
            </w:tcBorders>
          </w:tcPr>
          <w:p>
            <w:pPr>
              <w:spacing w:after="0"/>
              <w:rPr>
                <w:sz w:val="16"/>
                <w:szCs w:val="16"/>
                <w:color w:val="auto"/>
              </w:rPr>
            </w:pPr>
          </w:p>
        </w:tc>
        <w:tc>
          <w:tcPr>
            <w:tcW w:w="2760" w:type="dxa"/>
            <w:vAlign w:val="bottom"/>
          </w:tcPr>
          <w:p>
            <w:pPr>
              <w:spacing w:after="0"/>
              <w:rPr>
                <w:sz w:val="16"/>
                <w:szCs w:val="16"/>
                <w:color w:val="auto"/>
              </w:rPr>
            </w:pPr>
          </w:p>
        </w:tc>
      </w:tr>
      <w:tr>
        <w:trPr>
          <w:trHeight w:val="174"/>
        </w:trPr>
        <w:tc>
          <w:tcPr>
            <w:tcW w:w="2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2"/>
          </w:tcPr>
          <w:p>
            <w:pPr>
              <w:jc w:val="center"/>
              <w:spacing w:after="0" w:line="174" w:lineRule="exact"/>
              <w:rPr>
                <w:sz w:val="20"/>
                <w:szCs w:val="20"/>
                <w:color w:val="auto"/>
              </w:rPr>
            </w:pPr>
            <w:r>
              <w:rPr>
                <w:rFonts w:ascii="Arial" w:cs="Arial" w:eastAsia="Arial" w:hAnsi="Arial"/>
                <w:sz w:val="16"/>
                <w:szCs w:val="16"/>
                <w:color w:val="auto"/>
              </w:rPr>
              <w:t>Wtd. Avg</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2"/>
          </w:tcPr>
          <w:p>
            <w:pPr>
              <w:jc w:val="center"/>
              <w:spacing w:after="0" w:line="174" w:lineRule="exact"/>
              <w:rPr>
                <w:sz w:val="20"/>
                <w:szCs w:val="20"/>
                <w:color w:val="auto"/>
              </w:rPr>
            </w:pPr>
            <w:r>
              <w:rPr>
                <w:rFonts w:ascii="Arial" w:cs="Arial" w:eastAsia="Arial" w:hAnsi="Arial"/>
                <w:sz w:val="16"/>
                <w:szCs w:val="16"/>
                <w:color w:val="auto"/>
              </w:rPr>
              <w:t>Wtd. Avg</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2"/>
          </w:tcPr>
          <w:p>
            <w:pPr>
              <w:jc w:val="center"/>
              <w:spacing w:after="0" w:line="174" w:lineRule="exact"/>
              <w:rPr>
                <w:sz w:val="20"/>
                <w:szCs w:val="20"/>
                <w:color w:val="auto"/>
              </w:rPr>
            </w:pPr>
            <w:r>
              <w:rPr>
                <w:rFonts w:ascii="Arial" w:cs="Arial" w:eastAsia="Arial" w:hAnsi="Arial"/>
                <w:sz w:val="16"/>
                <w:szCs w:val="16"/>
                <w:color w:val="auto"/>
              </w:rPr>
              <w:t>Wtd. Avg</w:t>
            </w: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440"/>
              <w:spacing w:after="0" w:line="182" w:lineRule="exact"/>
              <w:rPr>
                <w:sz w:val="20"/>
                <w:szCs w:val="20"/>
                <w:color w:val="auto"/>
              </w:rPr>
            </w:pPr>
            <w:r>
              <w:rPr>
                <w:rFonts w:ascii="Arial" w:cs="Arial" w:eastAsia="Arial" w:hAnsi="Arial"/>
                <w:sz w:val="16"/>
                <w:szCs w:val="16"/>
                <w:color w:val="auto"/>
                <w:w w:val="99"/>
              </w:rPr>
              <w:t>Grant</w:t>
            </w: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460"/>
              <w:spacing w:after="0" w:line="182" w:lineRule="exact"/>
              <w:rPr>
                <w:sz w:val="20"/>
                <w:szCs w:val="20"/>
                <w:color w:val="auto"/>
              </w:rPr>
            </w:pPr>
            <w:r>
              <w:rPr>
                <w:rFonts w:ascii="Arial" w:cs="Arial" w:eastAsia="Arial" w:hAnsi="Arial"/>
                <w:sz w:val="16"/>
                <w:szCs w:val="16"/>
                <w:color w:val="auto"/>
              </w:rPr>
              <w:t>Grant</w:t>
            </w: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jc w:val="center"/>
              <w:ind w:right="119"/>
              <w:spacing w:after="0" w:line="182" w:lineRule="exact"/>
              <w:rPr>
                <w:sz w:val="20"/>
                <w:szCs w:val="20"/>
                <w:color w:val="auto"/>
              </w:rPr>
            </w:pPr>
            <w:r>
              <w:rPr>
                <w:rFonts w:ascii="Arial" w:cs="Arial" w:eastAsia="Arial" w:hAnsi="Arial"/>
                <w:sz w:val="16"/>
                <w:szCs w:val="16"/>
                <w:color w:val="auto"/>
              </w:rPr>
              <w:t>Grant</w:t>
            </w: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960" w:type="dxa"/>
            <w:vAlign w:val="bottom"/>
            <w:gridSpan w:val="2"/>
          </w:tcPr>
          <w:p>
            <w:pPr>
              <w:jc w:val="right"/>
              <w:ind w:right="380"/>
              <w:spacing w:after="0" w:line="182" w:lineRule="exact"/>
              <w:rPr>
                <w:sz w:val="20"/>
                <w:szCs w:val="20"/>
                <w:color w:val="auto"/>
              </w:rPr>
            </w:pPr>
            <w:r>
              <w:rPr>
                <w:rFonts w:ascii="Arial" w:cs="Arial" w:eastAsia="Arial" w:hAnsi="Arial"/>
                <w:sz w:val="16"/>
                <w:szCs w:val="16"/>
                <w:color w:val="auto"/>
              </w:rPr>
              <w:t>Shares</w:t>
            </w:r>
          </w:p>
        </w:tc>
        <w:tc>
          <w:tcPr>
            <w:tcW w:w="140" w:type="dxa"/>
            <w:vAlign w:val="bottom"/>
          </w:tcPr>
          <w:p>
            <w:pPr>
              <w:spacing w:after="0"/>
              <w:rPr>
                <w:sz w:val="15"/>
                <w:szCs w:val="15"/>
                <w:color w:val="auto"/>
              </w:rPr>
            </w:pPr>
          </w:p>
        </w:tc>
        <w:tc>
          <w:tcPr>
            <w:tcW w:w="920" w:type="dxa"/>
            <w:vAlign w:val="bottom"/>
            <w:gridSpan w:val="2"/>
          </w:tcPr>
          <w:p>
            <w:pPr>
              <w:jc w:val="center"/>
              <w:ind w:right="460"/>
              <w:spacing w:after="0" w:line="182" w:lineRule="exact"/>
              <w:rPr>
                <w:sz w:val="20"/>
                <w:szCs w:val="20"/>
                <w:color w:val="auto"/>
              </w:rPr>
            </w:pPr>
            <w:r>
              <w:rPr>
                <w:rFonts w:ascii="Arial" w:cs="Arial" w:eastAsia="Arial" w:hAnsi="Arial"/>
                <w:sz w:val="16"/>
                <w:szCs w:val="16"/>
                <w:color w:val="auto"/>
              </w:rPr>
              <w:t>Date</w:t>
            </w:r>
          </w:p>
        </w:tc>
        <w:tc>
          <w:tcPr>
            <w:tcW w:w="960" w:type="dxa"/>
            <w:vAlign w:val="bottom"/>
            <w:gridSpan w:val="2"/>
          </w:tcPr>
          <w:p>
            <w:pPr>
              <w:jc w:val="center"/>
              <w:ind w:right="320"/>
              <w:spacing w:after="0" w:line="182" w:lineRule="exact"/>
              <w:rPr>
                <w:sz w:val="20"/>
                <w:szCs w:val="20"/>
                <w:color w:val="auto"/>
              </w:rPr>
            </w:pPr>
            <w:r>
              <w:rPr>
                <w:rFonts w:ascii="Arial" w:cs="Arial" w:eastAsia="Arial" w:hAnsi="Arial"/>
                <w:sz w:val="16"/>
                <w:szCs w:val="16"/>
                <w:color w:val="auto"/>
              </w:rPr>
              <w:t>Shares</w:t>
            </w:r>
          </w:p>
        </w:tc>
        <w:tc>
          <w:tcPr>
            <w:tcW w:w="140" w:type="dxa"/>
            <w:vAlign w:val="bottom"/>
          </w:tcPr>
          <w:p>
            <w:pPr>
              <w:spacing w:after="0"/>
              <w:rPr>
                <w:sz w:val="15"/>
                <w:szCs w:val="15"/>
                <w:color w:val="auto"/>
              </w:rPr>
            </w:pPr>
          </w:p>
        </w:tc>
        <w:tc>
          <w:tcPr>
            <w:tcW w:w="920" w:type="dxa"/>
            <w:vAlign w:val="bottom"/>
            <w:gridSpan w:val="2"/>
          </w:tcPr>
          <w:p>
            <w:pPr>
              <w:jc w:val="center"/>
              <w:ind w:right="460"/>
              <w:spacing w:after="0" w:line="182" w:lineRule="exact"/>
              <w:rPr>
                <w:sz w:val="20"/>
                <w:szCs w:val="20"/>
                <w:color w:val="auto"/>
              </w:rPr>
            </w:pPr>
            <w:r>
              <w:rPr>
                <w:rFonts w:ascii="Arial" w:cs="Arial" w:eastAsia="Arial" w:hAnsi="Arial"/>
                <w:sz w:val="16"/>
                <w:szCs w:val="16"/>
                <w:color w:val="auto"/>
              </w:rPr>
              <w:t>Date</w:t>
            </w:r>
          </w:p>
        </w:tc>
        <w:tc>
          <w:tcPr>
            <w:tcW w:w="960" w:type="dxa"/>
            <w:vAlign w:val="bottom"/>
            <w:gridSpan w:val="2"/>
          </w:tcPr>
          <w:p>
            <w:pPr>
              <w:jc w:val="center"/>
              <w:ind w:right="320"/>
              <w:spacing w:after="0" w:line="182" w:lineRule="exact"/>
              <w:rPr>
                <w:sz w:val="20"/>
                <w:szCs w:val="20"/>
                <w:color w:val="auto"/>
              </w:rPr>
            </w:pPr>
            <w:r>
              <w:rPr>
                <w:rFonts w:ascii="Arial" w:cs="Arial" w:eastAsia="Arial" w:hAnsi="Arial"/>
                <w:sz w:val="16"/>
                <w:szCs w:val="16"/>
                <w:color w:val="auto"/>
              </w:rPr>
              <w:t>Shares</w:t>
            </w:r>
          </w:p>
        </w:tc>
        <w:tc>
          <w:tcPr>
            <w:tcW w:w="140" w:type="dxa"/>
            <w:vAlign w:val="bottom"/>
          </w:tcPr>
          <w:p>
            <w:pPr>
              <w:spacing w:after="0"/>
              <w:rPr>
                <w:sz w:val="15"/>
                <w:szCs w:val="15"/>
                <w:color w:val="auto"/>
              </w:rPr>
            </w:pPr>
          </w:p>
        </w:tc>
        <w:tc>
          <w:tcPr>
            <w:tcW w:w="660" w:type="dxa"/>
            <w:vAlign w:val="bottom"/>
          </w:tcPr>
          <w:p>
            <w:pPr>
              <w:jc w:val="center"/>
              <w:ind w:right="119"/>
              <w:spacing w:after="0" w:line="182" w:lineRule="exact"/>
              <w:rPr>
                <w:sz w:val="20"/>
                <w:szCs w:val="20"/>
                <w:color w:val="auto"/>
              </w:rPr>
            </w:pPr>
            <w:r>
              <w:rPr>
                <w:rFonts w:ascii="Arial" w:cs="Arial" w:eastAsia="Arial" w:hAnsi="Arial"/>
                <w:sz w:val="16"/>
                <w:szCs w:val="16"/>
                <w:color w:val="auto"/>
              </w:rPr>
              <w:t>Date</w:t>
            </w:r>
          </w:p>
        </w:tc>
        <w:tc>
          <w:tcPr>
            <w:tcW w:w="27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000</w:t>
            </w:r>
          </w:p>
        </w:tc>
        <w:tc>
          <w:tcPr>
            <w:tcW w:w="300" w:type="dxa"/>
            <w:vAlign w:val="bottom"/>
          </w:tcPr>
          <w:p>
            <w:pPr>
              <w:spacing w:after="0"/>
              <w:rPr>
                <w:sz w:val="15"/>
                <w:szCs w:val="15"/>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6"/>
                <w:szCs w:val="16"/>
                <w:color w:val="auto"/>
                <w:w w:val="98"/>
              </w:rPr>
              <w:t>Fair Value</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000</w:t>
            </w:r>
          </w:p>
        </w:tc>
        <w:tc>
          <w:tcPr>
            <w:tcW w:w="320" w:type="dxa"/>
            <w:vAlign w:val="bottom"/>
          </w:tcPr>
          <w:p>
            <w:pPr>
              <w:spacing w:after="0"/>
              <w:rPr>
                <w:sz w:val="15"/>
                <w:szCs w:val="15"/>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6"/>
                <w:szCs w:val="16"/>
                <w:color w:val="auto"/>
                <w:w w:val="98"/>
              </w:rPr>
              <w:t>Fair Value</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000</w:t>
            </w:r>
          </w:p>
        </w:tc>
        <w:tc>
          <w:tcPr>
            <w:tcW w:w="32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w w:val="98"/>
              </w:rPr>
              <w:t>Fair Value</w:t>
            </w:r>
          </w:p>
        </w:tc>
        <w:tc>
          <w:tcPr>
            <w:tcW w:w="2760" w:type="dxa"/>
            <w:vAlign w:val="bottom"/>
          </w:tcPr>
          <w:p>
            <w:pPr>
              <w:spacing w:after="0"/>
              <w:rPr>
                <w:sz w:val="15"/>
                <w:szCs w:val="15"/>
                <w:color w:val="auto"/>
              </w:rPr>
            </w:pPr>
          </w:p>
        </w:tc>
      </w:tr>
      <w:tr>
        <w:trPr>
          <w:trHeight w:val="174"/>
        </w:trPr>
        <w:tc>
          <w:tcPr>
            <w:tcW w:w="280" w:type="dxa"/>
            <w:vAlign w:val="bottom"/>
          </w:tcPr>
          <w:p>
            <w:pPr>
              <w:spacing w:after="0"/>
              <w:rPr>
                <w:sz w:val="15"/>
                <w:szCs w:val="15"/>
                <w:color w:val="auto"/>
              </w:rPr>
            </w:pPr>
          </w:p>
        </w:tc>
        <w:tc>
          <w:tcPr>
            <w:tcW w:w="260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Nonvested stock options at</w:t>
            </w:r>
          </w:p>
        </w:tc>
        <w:tc>
          <w:tcPr>
            <w:tcW w:w="66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right w:val="single" w:sz="8" w:color="CCEEFF"/>
            </w:tcBorders>
            <w:shd w:val="clear" w:color="auto" w:fill="CCEEFF"/>
          </w:tcPr>
          <w:p>
            <w:pPr>
              <w:spacing w:after="0"/>
              <w:rPr>
                <w:sz w:val="15"/>
                <w:szCs w:val="15"/>
                <w:color w:val="auto"/>
              </w:rPr>
            </w:pPr>
          </w:p>
        </w:tc>
        <w:tc>
          <w:tcPr>
            <w:tcW w:w="27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Beginning of Year</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4,622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4,031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5</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3,496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2600" w:type="dxa"/>
            <w:vAlign w:val="bottom"/>
          </w:tcPr>
          <w:p>
            <w:pPr>
              <w:ind w:left="20"/>
              <w:spacing w:after="0" w:line="182" w:lineRule="exact"/>
              <w:rPr>
                <w:sz w:val="20"/>
                <w:szCs w:val="20"/>
                <w:color w:val="auto"/>
              </w:rPr>
            </w:pPr>
            <w:r>
              <w:rPr>
                <w:rFonts w:ascii="Arial" w:cs="Arial" w:eastAsia="Arial" w:hAnsi="Arial"/>
                <w:sz w:val="16"/>
                <w:szCs w:val="16"/>
                <w:color w:val="auto"/>
              </w:rPr>
              <w:t>Granted</w:t>
            </w:r>
          </w:p>
        </w:tc>
        <w:tc>
          <w:tcPr>
            <w:tcW w:w="96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1,990</w:t>
            </w:r>
          </w:p>
        </w:tc>
        <w:tc>
          <w:tcPr>
            <w:tcW w:w="140" w:type="dxa"/>
            <w:vAlign w:val="bottom"/>
          </w:tcPr>
          <w:p>
            <w:pPr>
              <w:spacing w:after="0"/>
              <w:rPr>
                <w:sz w:val="15"/>
                <w:szCs w:val="15"/>
                <w:color w:val="auto"/>
              </w:rPr>
            </w:pPr>
          </w:p>
        </w:tc>
        <w:tc>
          <w:tcPr>
            <w:tcW w:w="92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4</w:t>
            </w:r>
          </w:p>
        </w:tc>
        <w:tc>
          <w:tcPr>
            <w:tcW w:w="96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1,966</w:t>
            </w:r>
          </w:p>
        </w:tc>
        <w:tc>
          <w:tcPr>
            <w:tcW w:w="140" w:type="dxa"/>
            <w:vAlign w:val="bottom"/>
          </w:tcPr>
          <w:p>
            <w:pPr>
              <w:spacing w:after="0"/>
              <w:rPr>
                <w:sz w:val="15"/>
                <w:szCs w:val="15"/>
                <w:color w:val="auto"/>
              </w:rPr>
            </w:pPr>
          </w:p>
        </w:tc>
        <w:tc>
          <w:tcPr>
            <w:tcW w:w="92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3</w:t>
            </w:r>
          </w:p>
        </w:tc>
        <w:tc>
          <w:tcPr>
            <w:tcW w:w="96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1,838</w:t>
            </w:r>
          </w:p>
        </w:tc>
        <w:tc>
          <w:tcPr>
            <w:tcW w:w="140" w:type="dxa"/>
            <w:vAlign w:val="bottom"/>
          </w:tcPr>
          <w:p>
            <w:pPr>
              <w:spacing w:after="0"/>
              <w:rPr>
                <w:sz w:val="15"/>
                <w:szCs w:val="15"/>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6"/>
                <w:szCs w:val="16"/>
                <w:color w:val="auto"/>
              </w:rPr>
              <w:t>5</w:t>
            </w: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26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Vested</w:t>
            </w:r>
          </w:p>
        </w:tc>
        <w:tc>
          <w:tcPr>
            <w:tcW w:w="96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(1,529)</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4</w:t>
            </w:r>
          </w:p>
        </w:tc>
        <w:tc>
          <w:tcPr>
            <w:tcW w:w="96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(1,192)</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5</w:t>
            </w:r>
          </w:p>
        </w:tc>
        <w:tc>
          <w:tcPr>
            <w:tcW w:w="96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(1,200)</w:t>
            </w:r>
          </w:p>
        </w:tc>
        <w:tc>
          <w:tcPr>
            <w:tcW w:w="140" w:type="dxa"/>
            <w:vAlign w:val="bottom"/>
            <w:shd w:val="clear" w:color="auto" w:fill="CCEEFF"/>
          </w:tcPr>
          <w:p>
            <w:pPr>
              <w:spacing w:after="0"/>
              <w:rPr>
                <w:sz w:val="15"/>
                <w:szCs w:val="15"/>
                <w:color w:val="auto"/>
              </w:rPr>
            </w:pPr>
          </w:p>
        </w:tc>
        <w:tc>
          <w:tcPr>
            <w:tcW w:w="66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5</w:t>
            </w:r>
          </w:p>
        </w:tc>
        <w:tc>
          <w:tcPr>
            <w:tcW w:w="2760" w:type="dxa"/>
            <w:vAlign w:val="bottom"/>
          </w:tcPr>
          <w:p>
            <w:pPr>
              <w:spacing w:after="0"/>
              <w:rPr>
                <w:sz w:val="15"/>
                <w:szCs w:val="15"/>
                <w:color w:val="auto"/>
              </w:rPr>
            </w:pPr>
          </w:p>
        </w:tc>
      </w:tr>
      <w:tr>
        <w:trPr>
          <w:trHeight w:val="187"/>
        </w:trPr>
        <w:tc>
          <w:tcPr>
            <w:tcW w:w="280" w:type="dxa"/>
            <w:vAlign w:val="bottom"/>
          </w:tcPr>
          <w:p>
            <w:pPr>
              <w:spacing w:after="0"/>
              <w:rPr>
                <w:sz w:val="16"/>
                <w:szCs w:val="16"/>
                <w:color w:val="auto"/>
              </w:rPr>
            </w:pPr>
          </w:p>
        </w:tc>
        <w:tc>
          <w:tcPr>
            <w:tcW w:w="2600" w:type="dxa"/>
            <w:vAlign w:val="bottom"/>
          </w:tcPr>
          <w:p>
            <w:pPr>
              <w:ind w:left="20"/>
              <w:spacing w:after="0" w:line="182" w:lineRule="exact"/>
              <w:rPr>
                <w:sz w:val="20"/>
                <w:szCs w:val="20"/>
                <w:color w:val="auto"/>
              </w:rPr>
            </w:pPr>
            <w:r>
              <w:rPr>
                <w:rFonts w:ascii="Arial" w:cs="Arial" w:eastAsia="Arial" w:hAnsi="Arial"/>
                <w:sz w:val="16"/>
                <w:szCs w:val="16"/>
                <w:color w:val="auto"/>
              </w:rPr>
              <w:t>Forfeited</w:t>
            </w:r>
          </w:p>
        </w:tc>
        <w:tc>
          <w:tcPr>
            <w:tcW w:w="960" w:type="dxa"/>
            <w:vAlign w:val="bottom"/>
            <w:gridSpan w:val="2"/>
          </w:tcPr>
          <w:p>
            <w:pPr>
              <w:jc w:val="right"/>
              <w:ind w:right="260"/>
              <w:spacing w:after="0" w:line="182" w:lineRule="exact"/>
              <w:rPr>
                <w:sz w:val="20"/>
                <w:szCs w:val="20"/>
                <w:color w:val="auto"/>
              </w:rPr>
            </w:pPr>
            <w:r>
              <w:rPr>
                <w:rFonts w:ascii="Arial" w:cs="Arial" w:eastAsia="Arial" w:hAnsi="Arial"/>
                <w:sz w:val="16"/>
                <w:szCs w:val="16"/>
                <w:color w:val="auto"/>
              </w:rPr>
              <w:t>(421)</w:t>
            </w:r>
          </w:p>
        </w:tc>
        <w:tc>
          <w:tcPr>
            <w:tcW w:w="140" w:type="dxa"/>
            <w:vAlign w:val="bottom"/>
          </w:tcPr>
          <w:p>
            <w:pPr>
              <w:spacing w:after="0"/>
              <w:rPr>
                <w:sz w:val="16"/>
                <w:szCs w:val="16"/>
                <w:color w:val="auto"/>
              </w:rPr>
            </w:pPr>
          </w:p>
        </w:tc>
        <w:tc>
          <w:tcPr>
            <w:tcW w:w="92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4</w:t>
            </w:r>
          </w:p>
        </w:tc>
        <w:tc>
          <w:tcPr>
            <w:tcW w:w="960" w:type="dxa"/>
            <w:vAlign w:val="bottom"/>
            <w:gridSpan w:val="2"/>
          </w:tcPr>
          <w:p>
            <w:pPr>
              <w:jc w:val="right"/>
              <w:ind w:right="260"/>
              <w:spacing w:after="0" w:line="182" w:lineRule="exact"/>
              <w:rPr>
                <w:sz w:val="20"/>
                <w:szCs w:val="20"/>
                <w:color w:val="auto"/>
              </w:rPr>
            </w:pPr>
            <w:r>
              <w:rPr>
                <w:rFonts w:ascii="Arial" w:cs="Arial" w:eastAsia="Arial" w:hAnsi="Arial"/>
                <w:sz w:val="16"/>
                <w:szCs w:val="16"/>
                <w:color w:val="auto"/>
              </w:rPr>
              <w:t>(183)</w:t>
            </w:r>
          </w:p>
        </w:tc>
        <w:tc>
          <w:tcPr>
            <w:tcW w:w="140" w:type="dxa"/>
            <w:vAlign w:val="bottom"/>
          </w:tcPr>
          <w:p>
            <w:pPr>
              <w:spacing w:after="0"/>
              <w:rPr>
                <w:sz w:val="16"/>
                <w:szCs w:val="16"/>
                <w:color w:val="auto"/>
              </w:rPr>
            </w:pPr>
          </w:p>
        </w:tc>
        <w:tc>
          <w:tcPr>
            <w:tcW w:w="92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5</w:t>
            </w:r>
          </w:p>
        </w:tc>
        <w:tc>
          <w:tcPr>
            <w:tcW w:w="960" w:type="dxa"/>
            <w:vAlign w:val="bottom"/>
            <w:gridSpan w:val="2"/>
          </w:tcPr>
          <w:p>
            <w:pPr>
              <w:jc w:val="right"/>
              <w:ind w:right="260"/>
              <w:spacing w:after="0" w:line="182" w:lineRule="exact"/>
              <w:rPr>
                <w:sz w:val="20"/>
                <w:szCs w:val="20"/>
                <w:color w:val="auto"/>
              </w:rPr>
            </w:pPr>
            <w:r>
              <w:rPr>
                <w:rFonts w:ascii="Arial" w:cs="Arial" w:eastAsia="Arial" w:hAnsi="Arial"/>
                <w:sz w:val="16"/>
                <w:szCs w:val="16"/>
                <w:color w:val="auto"/>
              </w:rPr>
              <w:t>(103)</w:t>
            </w:r>
          </w:p>
        </w:tc>
        <w:tc>
          <w:tcPr>
            <w:tcW w:w="140" w:type="dxa"/>
            <w:vAlign w:val="bottom"/>
          </w:tcPr>
          <w:p>
            <w:pPr>
              <w:spacing w:after="0"/>
              <w:rPr>
                <w:sz w:val="16"/>
                <w:szCs w:val="16"/>
                <w:color w:val="auto"/>
              </w:rPr>
            </w:pPr>
          </w:p>
        </w:tc>
        <w:tc>
          <w:tcPr>
            <w:tcW w:w="660" w:type="dxa"/>
            <w:vAlign w:val="bottom"/>
          </w:tcPr>
          <w:p>
            <w:pPr>
              <w:jc w:val="right"/>
              <w:spacing w:after="0" w:line="182" w:lineRule="exact"/>
              <w:rPr>
                <w:sz w:val="20"/>
                <w:szCs w:val="20"/>
                <w:color w:val="auto"/>
              </w:rPr>
            </w:pPr>
            <w:r>
              <w:rPr>
                <w:rFonts w:ascii="Arial" w:cs="Arial" w:eastAsia="Arial" w:hAnsi="Arial"/>
                <w:sz w:val="16"/>
                <w:szCs w:val="16"/>
                <w:color w:val="auto"/>
              </w:rPr>
              <w:t>5</w:t>
            </w:r>
          </w:p>
        </w:tc>
        <w:tc>
          <w:tcPr>
            <w:tcW w:w="2760" w:type="dxa"/>
            <w:vAlign w:val="bottom"/>
          </w:tcPr>
          <w:p>
            <w:pPr>
              <w:spacing w:after="0"/>
              <w:rPr>
                <w:sz w:val="16"/>
                <w:szCs w:val="16"/>
                <w:color w:val="auto"/>
              </w:rPr>
            </w:pPr>
          </w:p>
        </w:tc>
      </w:tr>
      <w:tr>
        <w:trPr>
          <w:trHeight w:val="181"/>
        </w:trPr>
        <w:tc>
          <w:tcPr>
            <w:tcW w:w="280" w:type="dxa"/>
            <w:vAlign w:val="bottom"/>
          </w:tcPr>
          <w:p>
            <w:pPr>
              <w:spacing w:after="0"/>
              <w:rPr>
                <w:sz w:val="15"/>
                <w:szCs w:val="15"/>
                <w:color w:val="auto"/>
              </w:rPr>
            </w:pPr>
          </w:p>
        </w:tc>
        <w:tc>
          <w:tcPr>
            <w:tcW w:w="26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Nonvested stock options at End</w:t>
            </w:r>
          </w:p>
        </w:tc>
        <w:tc>
          <w:tcPr>
            <w:tcW w:w="66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right w:val="single" w:sz="8" w:color="CCEEFF"/>
            </w:tcBorders>
            <w:shd w:val="clear" w:color="auto" w:fill="CCEEFF"/>
          </w:tcPr>
          <w:p>
            <w:pPr>
              <w:spacing w:after="0"/>
              <w:rPr>
                <w:sz w:val="15"/>
                <w:szCs w:val="15"/>
                <w:color w:val="auto"/>
              </w:rPr>
            </w:pPr>
          </w:p>
        </w:tc>
        <w:tc>
          <w:tcPr>
            <w:tcW w:w="27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2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of Year</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4,662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4,622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4,031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2760" w:type="dxa"/>
            <w:vAlign w:val="bottom"/>
          </w:tcPr>
          <w:p>
            <w:pPr>
              <w:spacing w:after="0"/>
              <w:rPr>
                <w:sz w:val="15"/>
                <w:szCs w:val="15"/>
                <w:color w:val="auto"/>
              </w:rPr>
            </w:pPr>
          </w:p>
        </w:tc>
      </w:tr>
      <w:tr>
        <w:trPr>
          <w:trHeight w:val="704"/>
        </w:trPr>
        <w:tc>
          <w:tcPr>
            <w:tcW w:w="2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color w:val="auto"/>
              </w:rPr>
              <w:t>- 45 -</w:t>
            </w: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91"/>
        </w:trPr>
        <w:tc>
          <w:tcPr>
            <w:tcW w:w="280" w:type="dxa"/>
            <w:vAlign w:val="bottom"/>
            <w:tcBorders>
              <w:bottom w:val="single" w:sz="8" w:color="808080"/>
            </w:tcBorders>
          </w:tcPr>
          <w:p>
            <w:pPr>
              <w:spacing w:after="0"/>
              <w:rPr>
                <w:sz w:val="16"/>
                <w:szCs w:val="16"/>
                <w:color w:val="auto"/>
              </w:rPr>
            </w:pPr>
          </w:p>
        </w:tc>
        <w:tc>
          <w:tcPr>
            <w:tcW w:w="260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30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60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640" w:type="dxa"/>
            <w:vAlign w:val="bottom"/>
            <w:tcBorders>
              <w:bottom w:val="single" w:sz="8" w:color="808080"/>
            </w:tcBorders>
          </w:tcPr>
          <w:p>
            <w:pPr>
              <w:spacing w:after="0"/>
              <w:rPr>
                <w:sz w:val="16"/>
                <w:szCs w:val="16"/>
                <w:color w:val="auto"/>
              </w:rPr>
            </w:pPr>
          </w:p>
        </w:tc>
        <w:tc>
          <w:tcPr>
            <w:tcW w:w="320" w:type="dxa"/>
            <w:vAlign w:val="bottom"/>
            <w:tcBorders>
              <w:bottom w:val="single" w:sz="8" w:color="808080"/>
            </w:tcBorders>
          </w:tcPr>
          <w:p>
            <w:pPr>
              <w:spacing w:after="0"/>
              <w:rPr>
                <w:sz w:val="16"/>
                <w:szCs w:val="16"/>
                <w:color w:val="auto"/>
              </w:rPr>
            </w:pPr>
          </w:p>
        </w:tc>
        <w:tc>
          <w:tcPr>
            <w:tcW w:w="140" w:type="dxa"/>
            <w:vAlign w:val="bottom"/>
            <w:tcBorders>
              <w:bottom w:val="single" w:sz="8" w:color="808080"/>
            </w:tcBorders>
          </w:tcPr>
          <w:p>
            <w:pPr>
              <w:spacing w:after="0"/>
              <w:rPr>
                <w:sz w:val="16"/>
                <w:szCs w:val="16"/>
                <w:color w:val="auto"/>
              </w:rPr>
            </w:pPr>
          </w:p>
        </w:tc>
        <w:tc>
          <w:tcPr>
            <w:tcW w:w="660" w:type="dxa"/>
            <w:vAlign w:val="bottom"/>
            <w:tcBorders>
              <w:bottom w:val="single" w:sz="8" w:color="808080"/>
            </w:tcBorders>
          </w:tcPr>
          <w:p>
            <w:pPr>
              <w:spacing w:after="0"/>
              <w:rPr>
                <w:sz w:val="16"/>
                <w:szCs w:val="16"/>
                <w:color w:val="auto"/>
              </w:rPr>
            </w:pPr>
          </w:p>
        </w:tc>
        <w:tc>
          <w:tcPr>
            <w:tcW w:w="27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91" w:right="21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2460"/>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17" w:lineRule="exact"/>
        <w:rPr>
          <w:sz w:val="20"/>
          <w:szCs w:val="20"/>
          <w:color w:val="auto"/>
        </w:rPr>
      </w:pPr>
    </w:p>
    <w:p>
      <w:pPr>
        <w:jc w:val="center"/>
        <w:ind w:right="2460"/>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jc w:val="center"/>
        <w:ind w:right="2460"/>
        <w:spacing w:after="0"/>
        <w:rPr>
          <w:sz w:val="20"/>
          <w:szCs w:val="20"/>
          <w:color w:val="auto"/>
        </w:rPr>
      </w:pPr>
      <w:r>
        <w:rPr>
          <w:rFonts w:ascii="Arial" w:cs="Arial" w:eastAsia="Arial" w:hAnsi="Arial"/>
          <w:sz w:val="16"/>
          <w:szCs w:val="16"/>
          <w:b w:val="1"/>
          <w:bCs w:val="1"/>
          <w:color w:val="auto"/>
        </w:rPr>
        <w:t>(Continued)</w:t>
      </w:r>
    </w:p>
    <w:p>
      <w:pPr>
        <w:spacing w:after="0" w:line="168" w:lineRule="exact"/>
        <w:rPr>
          <w:sz w:val="20"/>
          <w:szCs w:val="20"/>
          <w:color w:val="auto"/>
        </w:rPr>
      </w:pPr>
    </w:p>
    <w:p>
      <w:pPr>
        <w:ind w:left="620" w:right="6960" w:hanging="331"/>
        <w:spacing w:after="0" w:line="443" w:lineRule="auto"/>
        <w:tabs>
          <w:tab w:leader="none" w:pos="6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STOCK-BASED COMPENSATION PLANS, continued </w:t>
      </w:r>
      <w:r>
        <w:rPr>
          <w:rFonts w:ascii="Arial" w:cs="Arial" w:eastAsia="Arial" w:hAnsi="Arial"/>
          <w:sz w:val="16"/>
          <w:szCs w:val="16"/>
          <w:u w:val="single" w:color="auto"/>
          <w:color w:val="auto"/>
        </w:rPr>
        <w:t>Non-employee Director Stock Option Plan</w:t>
      </w:r>
    </w:p>
    <w:p>
      <w:pPr>
        <w:spacing w:after="0" w:line="1" w:lineRule="exact"/>
        <w:rPr>
          <w:rFonts w:ascii="Arial" w:cs="Arial" w:eastAsia="Arial" w:hAnsi="Arial"/>
          <w:sz w:val="16"/>
          <w:szCs w:val="16"/>
          <w:color w:val="auto"/>
        </w:rPr>
      </w:pPr>
    </w:p>
    <w:p>
      <w:pPr>
        <w:ind w:left="620" w:right="2800"/>
        <w:spacing w:after="0" w:line="242" w:lineRule="auto"/>
        <w:rPr>
          <w:rFonts w:ascii="Arial" w:cs="Arial" w:eastAsia="Arial" w:hAnsi="Arial"/>
          <w:sz w:val="16"/>
          <w:szCs w:val="16"/>
          <w:color w:val="auto"/>
        </w:rPr>
      </w:pPr>
      <w:r>
        <w:rPr>
          <w:rFonts w:ascii="Arial" w:cs="Arial" w:eastAsia="Arial" w:hAnsi="Arial"/>
          <w:sz w:val="16"/>
          <w:szCs w:val="16"/>
          <w:color w:val="auto"/>
        </w:rPr>
        <w:t>The Company has a Non-employee Director Stock Option Plan covering 1,000,000 shares that was shareholder approved, replacing a prior plan. The Company has granted options on 459,240 shares (net of shares from canceled options) under the current plan through December 31, 2009. Under the plan, the option exercise price equals the stock’s market price on date of grant. The options vest after six months, and expire after ten years.</w:t>
      </w:r>
    </w:p>
    <w:p>
      <w:pPr>
        <w:spacing w:after="0" w:line="157" w:lineRule="exact"/>
        <w:rPr>
          <w:rFonts w:ascii="Arial" w:cs="Arial" w:eastAsia="Arial" w:hAnsi="Arial"/>
          <w:sz w:val="16"/>
          <w:szCs w:val="16"/>
          <w:color w:val="auto"/>
        </w:rPr>
      </w:pPr>
    </w:p>
    <w:p>
      <w:pPr>
        <w:ind w:left="620" w:right="2840"/>
        <w:spacing w:after="0" w:line="244" w:lineRule="auto"/>
        <w:rPr>
          <w:rFonts w:ascii="Arial" w:cs="Arial" w:eastAsia="Arial" w:hAnsi="Arial"/>
          <w:sz w:val="16"/>
          <w:szCs w:val="16"/>
          <w:color w:val="auto"/>
        </w:rPr>
      </w:pPr>
      <w:r>
        <w:rPr>
          <w:rFonts w:ascii="Arial" w:cs="Arial" w:eastAsia="Arial" w:hAnsi="Arial"/>
          <w:sz w:val="16"/>
          <w:szCs w:val="16"/>
          <w:color w:val="auto"/>
        </w:rPr>
        <w:t>The fair value of each option grant in the Non-employee Director Stock Option Plans was estimated on the date of grant using the Black-Scholes option pricing model with the following weighted-average assumptions for the indicated periods:</w:t>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2009</w:t>
            </w:r>
          </w:p>
        </w:tc>
        <w:tc>
          <w:tcPr>
            <w:tcW w:w="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2008</w:t>
            </w:r>
          </w:p>
        </w:tc>
        <w:tc>
          <w:tcPr>
            <w:tcW w:w="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2007</w:t>
            </w:r>
          </w:p>
        </w:tc>
        <w:tc>
          <w:tcPr>
            <w:tcW w:w="140" w:type="dxa"/>
            <w:vAlign w:val="bottom"/>
          </w:tcPr>
          <w:p>
            <w:pPr>
              <w:spacing w:after="0"/>
              <w:rPr>
                <w:sz w:val="16"/>
                <w:szCs w:val="16"/>
                <w:color w:val="auto"/>
              </w:rPr>
            </w:pPr>
          </w:p>
        </w:tc>
      </w:tr>
      <w:tr>
        <w:trPr>
          <w:trHeight w:val="174"/>
        </w:trPr>
        <w:tc>
          <w:tcPr>
            <w:tcW w:w="496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Dividend yield</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line="175" w:lineRule="exact"/>
              <w:rPr>
                <w:sz w:val="20"/>
                <w:szCs w:val="20"/>
                <w:color w:val="auto"/>
              </w:rPr>
            </w:pPr>
            <w:r>
              <w:rPr>
                <w:rFonts w:ascii="Arial" w:cs="Arial" w:eastAsia="Arial" w:hAnsi="Arial"/>
                <w:sz w:val="16"/>
                <w:szCs w:val="16"/>
                <w:color w:val="auto"/>
              </w:rPr>
              <w:t>2.6%</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line="175" w:lineRule="exact"/>
              <w:rPr>
                <w:sz w:val="20"/>
                <w:szCs w:val="20"/>
                <w:color w:val="auto"/>
              </w:rPr>
            </w:pPr>
            <w:r>
              <w:rPr>
                <w:rFonts w:ascii="Arial" w:cs="Arial" w:eastAsia="Arial" w:hAnsi="Arial"/>
                <w:sz w:val="16"/>
                <w:szCs w:val="16"/>
                <w:color w:val="auto"/>
              </w:rPr>
              <w:t>2.1%</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2.0%</w:t>
            </w:r>
          </w:p>
        </w:tc>
      </w:tr>
      <w:tr>
        <w:trPr>
          <w:trHeight w:val="182"/>
        </w:trPr>
        <w:tc>
          <w:tcPr>
            <w:tcW w:w="4960" w:type="dxa"/>
            <w:vAlign w:val="bottom"/>
          </w:tcPr>
          <w:p>
            <w:pPr>
              <w:ind w:left="20"/>
              <w:spacing w:after="0" w:line="182" w:lineRule="exact"/>
              <w:rPr>
                <w:sz w:val="20"/>
                <w:szCs w:val="20"/>
                <w:color w:val="auto"/>
              </w:rPr>
            </w:pPr>
            <w:r>
              <w:rPr>
                <w:rFonts w:ascii="Arial" w:cs="Arial" w:eastAsia="Arial" w:hAnsi="Arial"/>
                <w:sz w:val="16"/>
                <w:szCs w:val="16"/>
                <w:color w:val="auto"/>
              </w:rPr>
              <w:t>Expected volatility</w:t>
            </w:r>
          </w:p>
        </w:tc>
        <w:tc>
          <w:tcPr>
            <w:tcW w:w="180" w:type="dxa"/>
            <w:vAlign w:val="bottom"/>
          </w:tcPr>
          <w:p>
            <w:pPr>
              <w:spacing w:after="0"/>
              <w:rPr>
                <w:sz w:val="15"/>
                <w:szCs w:val="15"/>
                <w:color w:val="auto"/>
              </w:rPr>
            </w:pPr>
          </w:p>
        </w:tc>
        <w:tc>
          <w:tcPr>
            <w:tcW w:w="1060" w:type="dxa"/>
            <w:vAlign w:val="bottom"/>
            <w:gridSpan w:val="2"/>
          </w:tcPr>
          <w:p>
            <w:pPr>
              <w:jc w:val="right"/>
              <w:ind w:right="260"/>
              <w:spacing w:after="0" w:line="182" w:lineRule="exact"/>
              <w:rPr>
                <w:sz w:val="20"/>
                <w:szCs w:val="20"/>
                <w:color w:val="auto"/>
              </w:rPr>
            </w:pPr>
            <w:r>
              <w:rPr>
                <w:rFonts w:ascii="Arial" w:cs="Arial" w:eastAsia="Arial" w:hAnsi="Arial"/>
                <w:sz w:val="16"/>
                <w:szCs w:val="16"/>
                <w:color w:val="auto"/>
              </w:rPr>
              <w:t>38.3%</w:t>
            </w:r>
          </w:p>
        </w:tc>
        <w:tc>
          <w:tcPr>
            <w:tcW w:w="160" w:type="dxa"/>
            <w:vAlign w:val="bottom"/>
          </w:tcPr>
          <w:p>
            <w:pPr>
              <w:spacing w:after="0"/>
              <w:rPr>
                <w:sz w:val="15"/>
                <w:szCs w:val="15"/>
                <w:color w:val="auto"/>
              </w:rPr>
            </w:pPr>
          </w:p>
        </w:tc>
        <w:tc>
          <w:tcPr>
            <w:tcW w:w="106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30.6%</w:t>
            </w:r>
          </w:p>
        </w:tc>
        <w:tc>
          <w:tcPr>
            <w:tcW w:w="160" w:type="dxa"/>
            <w:vAlign w:val="bottom"/>
          </w:tcPr>
          <w:p>
            <w:pPr>
              <w:spacing w:after="0"/>
              <w:rPr>
                <w:sz w:val="15"/>
                <w:szCs w:val="15"/>
                <w:color w:val="auto"/>
              </w:rPr>
            </w:pPr>
          </w:p>
        </w:tc>
        <w:tc>
          <w:tcPr>
            <w:tcW w:w="820" w:type="dxa"/>
            <w:vAlign w:val="bottom"/>
            <w:gridSpan w:val="2"/>
          </w:tcPr>
          <w:p>
            <w:pPr>
              <w:jc w:val="right"/>
              <w:spacing w:after="0" w:line="182" w:lineRule="exact"/>
              <w:rPr>
                <w:sz w:val="20"/>
                <w:szCs w:val="20"/>
                <w:color w:val="auto"/>
              </w:rPr>
            </w:pPr>
            <w:r>
              <w:rPr>
                <w:rFonts w:ascii="Arial" w:cs="Arial" w:eastAsia="Arial" w:hAnsi="Arial"/>
                <w:sz w:val="16"/>
                <w:szCs w:val="16"/>
                <w:color w:val="auto"/>
              </w:rPr>
              <w:t>29.4%</w:t>
            </w:r>
          </w:p>
        </w:tc>
      </w:tr>
      <w:tr>
        <w:trPr>
          <w:trHeight w:val="182"/>
        </w:trPr>
        <w:tc>
          <w:tcPr>
            <w:tcW w:w="496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Risk-free interest rate</w:t>
            </w:r>
          </w:p>
        </w:tc>
        <w:tc>
          <w:tcPr>
            <w:tcW w:w="1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2.9%</w:t>
            </w:r>
          </w:p>
        </w:tc>
        <w:tc>
          <w:tcPr>
            <w:tcW w:w="1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3.6%</w:t>
            </w: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6"/>
                <w:szCs w:val="16"/>
                <w:color w:val="auto"/>
              </w:rPr>
              <w:t>4.6%</w:t>
            </w:r>
          </w:p>
        </w:tc>
      </w:tr>
      <w:tr>
        <w:trPr>
          <w:trHeight w:val="182"/>
        </w:trPr>
        <w:tc>
          <w:tcPr>
            <w:tcW w:w="4960" w:type="dxa"/>
            <w:vAlign w:val="bottom"/>
          </w:tcPr>
          <w:p>
            <w:pPr>
              <w:ind w:left="20"/>
              <w:spacing w:after="0" w:line="182" w:lineRule="exact"/>
              <w:rPr>
                <w:sz w:val="20"/>
                <w:szCs w:val="20"/>
                <w:color w:val="auto"/>
              </w:rPr>
            </w:pPr>
            <w:r>
              <w:rPr>
                <w:rFonts w:ascii="Arial" w:cs="Arial" w:eastAsia="Arial" w:hAnsi="Arial"/>
                <w:sz w:val="16"/>
                <w:szCs w:val="16"/>
                <w:color w:val="auto"/>
              </w:rPr>
              <w:t>Expected term of options (in years)</w:t>
            </w:r>
          </w:p>
        </w:tc>
        <w:tc>
          <w:tcPr>
            <w:tcW w:w="180" w:type="dxa"/>
            <w:vAlign w:val="bottom"/>
          </w:tcPr>
          <w:p>
            <w:pPr>
              <w:spacing w:after="0"/>
              <w:rPr>
                <w:sz w:val="15"/>
                <w:szCs w:val="15"/>
                <w:color w:val="auto"/>
              </w:rPr>
            </w:pPr>
          </w:p>
        </w:tc>
        <w:tc>
          <w:tcPr>
            <w:tcW w:w="1060" w:type="dxa"/>
            <w:vAlign w:val="bottom"/>
            <w:gridSpan w:val="2"/>
          </w:tcPr>
          <w:p>
            <w:pPr>
              <w:jc w:val="right"/>
              <w:ind w:right="400"/>
              <w:spacing w:after="0" w:line="182" w:lineRule="exact"/>
              <w:rPr>
                <w:sz w:val="20"/>
                <w:szCs w:val="20"/>
                <w:color w:val="auto"/>
              </w:rPr>
            </w:pPr>
            <w:r>
              <w:rPr>
                <w:rFonts w:ascii="Arial" w:cs="Arial" w:eastAsia="Arial" w:hAnsi="Arial"/>
                <w:sz w:val="16"/>
                <w:szCs w:val="16"/>
                <w:color w:val="auto"/>
              </w:rPr>
              <w:t>8.7</w:t>
            </w:r>
          </w:p>
        </w:tc>
        <w:tc>
          <w:tcPr>
            <w:tcW w:w="160" w:type="dxa"/>
            <w:vAlign w:val="bottom"/>
          </w:tcPr>
          <w:p>
            <w:pPr>
              <w:spacing w:after="0"/>
              <w:rPr>
                <w:sz w:val="15"/>
                <w:szCs w:val="15"/>
                <w:color w:val="auto"/>
              </w:rPr>
            </w:pPr>
          </w:p>
        </w:tc>
        <w:tc>
          <w:tcPr>
            <w:tcW w:w="1060" w:type="dxa"/>
            <w:vAlign w:val="bottom"/>
            <w:gridSpan w:val="2"/>
          </w:tcPr>
          <w:p>
            <w:pPr>
              <w:jc w:val="right"/>
              <w:ind w:right="380"/>
              <w:spacing w:after="0" w:line="182" w:lineRule="exact"/>
              <w:rPr>
                <w:sz w:val="20"/>
                <w:szCs w:val="20"/>
                <w:color w:val="auto"/>
              </w:rPr>
            </w:pPr>
            <w:r>
              <w:rPr>
                <w:rFonts w:ascii="Arial" w:cs="Arial" w:eastAsia="Arial" w:hAnsi="Arial"/>
                <w:sz w:val="16"/>
                <w:szCs w:val="16"/>
                <w:color w:val="auto"/>
              </w:rPr>
              <w:t>8.5</w:t>
            </w:r>
          </w:p>
        </w:tc>
        <w:tc>
          <w:tcPr>
            <w:tcW w:w="160" w:type="dxa"/>
            <w:vAlign w:val="bottom"/>
          </w:tcPr>
          <w:p>
            <w:pPr>
              <w:spacing w:after="0"/>
              <w:rPr>
                <w:sz w:val="15"/>
                <w:szCs w:val="15"/>
                <w:color w:val="auto"/>
              </w:rPr>
            </w:pPr>
          </w:p>
        </w:tc>
        <w:tc>
          <w:tcPr>
            <w:tcW w:w="82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8.3</w:t>
            </w:r>
          </w:p>
        </w:tc>
      </w:tr>
      <w:tr>
        <w:trPr>
          <w:trHeight w:val="182"/>
        </w:trPr>
        <w:tc>
          <w:tcPr>
            <w:tcW w:w="496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Weighted-average grant-date fair value</w:t>
            </w:r>
          </w:p>
        </w:tc>
        <w:tc>
          <w:tcPr>
            <w:tcW w:w="18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CEEFF"/>
          </w:tcPr>
          <w:p>
            <w:pPr>
              <w:jc w:val="right"/>
              <w:ind w:right="400"/>
              <w:spacing w:after="0" w:line="182" w:lineRule="exact"/>
              <w:rPr>
                <w:sz w:val="20"/>
                <w:szCs w:val="20"/>
                <w:color w:val="auto"/>
              </w:rPr>
            </w:pPr>
            <w:r>
              <w:rPr>
                <w:rFonts w:ascii="Arial" w:cs="Arial" w:eastAsia="Arial" w:hAnsi="Arial"/>
                <w:sz w:val="16"/>
                <w:szCs w:val="16"/>
                <w:color w:val="auto"/>
              </w:rPr>
              <w:t>4</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6"/>
                <w:szCs w:val="16"/>
                <w:color w:val="auto"/>
              </w:rPr>
              <w:t>6</w:t>
            </w:r>
          </w:p>
        </w:tc>
        <w:tc>
          <w:tcPr>
            <w:tcW w:w="16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82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6"/>
                <w:szCs w:val="16"/>
                <w:color w:val="auto"/>
              </w:rPr>
              <w:t>6</w:t>
            </w:r>
          </w:p>
        </w:tc>
      </w:tr>
    </w:tbl>
    <w:p>
      <w:pPr>
        <w:spacing w:after="0" w:line="157" w:lineRule="exact"/>
        <w:rPr>
          <w:sz w:val="20"/>
          <w:szCs w:val="20"/>
          <w:color w:val="auto"/>
        </w:rPr>
      </w:pPr>
    </w:p>
    <w:p>
      <w:pPr>
        <w:ind w:left="620" w:right="3140"/>
        <w:spacing w:after="0" w:line="251" w:lineRule="auto"/>
        <w:rPr>
          <w:sz w:val="20"/>
          <w:szCs w:val="20"/>
          <w:color w:val="auto"/>
        </w:rPr>
      </w:pPr>
      <w:r>
        <w:rPr>
          <w:rFonts w:ascii="Arial" w:cs="Arial" w:eastAsia="Arial" w:hAnsi="Arial"/>
          <w:sz w:val="16"/>
          <w:szCs w:val="16"/>
          <w:color w:val="auto"/>
        </w:rPr>
        <w:t>As of December 31, 2009, there was no unrecognized compensation cost related to share-based payments under this plan.</w:t>
      </w:r>
    </w:p>
    <w:p>
      <w:pPr>
        <w:spacing w:after="0" w:line="138" w:lineRule="exact"/>
        <w:rPr>
          <w:sz w:val="20"/>
          <w:szCs w:val="20"/>
          <w:color w:val="auto"/>
        </w:rPr>
      </w:pPr>
    </w:p>
    <w:p>
      <w:pPr>
        <w:ind w:left="620" w:right="3020"/>
        <w:spacing w:after="0" w:line="251" w:lineRule="auto"/>
        <w:rPr>
          <w:sz w:val="20"/>
          <w:szCs w:val="20"/>
          <w:color w:val="auto"/>
        </w:rPr>
      </w:pPr>
      <w:r>
        <w:rPr>
          <w:rFonts w:ascii="Arial" w:cs="Arial" w:eastAsia="Arial" w:hAnsi="Arial"/>
          <w:sz w:val="16"/>
          <w:szCs w:val="16"/>
          <w:color w:val="auto"/>
        </w:rPr>
        <w:t>A summary of the status of the Company’s Non-employee Director Stock Option Plan at December 31, 2009, 2008, and 2007, and changes during the same periods are presented in the tables and narrative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2009</w:t>
            </w: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760" w:type="dxa"/>
            <w:vAlign w:val="bottom"/>
          </w:tcPr>
          <w:p>
            <w:pPr>
              <w:spacing w:after="0"/>
              <w:rPr>
                <w:sz w:val="16"/>
                <w:szCs w:val="16"/>
                <w:color w:val="auto"/>
              </w:rPr>
            </w:pPr>
          </w:p>
        </w:tc>
      </w:tr>
      <w:tr>
        <w:trPr>
          <w:trHeight w:val="174"/>
        </w:trPr>
        <w:tc>
          <w:tcPr>
            <w:tcW w:w="2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99"/>
              <w:spacing w:after="0" w:line="174" w:lineRule="exact"/>
              <w:rPr>
                <w:sz w:val="20"/>
                <w:szCs w:val="20"/>
                <w:color w:val="auto"/>
              </w:rPr>
            </w:pPr>
            <w:r>
              <w:rPr>
                <w:rFonts w:ascii="Arial" w:cs="Arial" w:eastAsia="Arial" w:hAnsi="Arial"/>
                <w:sz w:val="16"/>
                <w:szCs w:val="16"/>
                <w:color w:val="auto"/>
              </w:rPr>
              <w:t>Aggregate</w:t>
            </w: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060" w:type="dxa"/>
            <w:vAlign w:val="bottom"/>
            <w:gridSpan w:val="2"/>
          </w:tcPr>
          <w:p>
            <w:pPr>
              <w:jc w:val="center"/>
              <w:ind w:right="300"/>
              <w:spacing w:after="0" w:line="182" w:lineRule="exact"/>
              <w:rPr>
                <w:sz w:val="20"/>
                <w:szCs w:val="20"/>
                <w:color w:val="auto"/>
              </w:rPr>
            </w:pPr>
            <w:r>
              <w:rPr>
                <w:rFonts w:ascii="Arial" w:cs="Arial" w:eastAsia="Arial" w:hAnsi="Arial"/>
                <w:sz w:val="16"/>
                <w:szCs w:val="16"/>
                <w:color w:val="auto"/>
              </w:rPr>
              <w:t>Shares</w:t>
            </w:r>
          </w:p>
        </w:tc>
        <w:tc>
          <w:tcPr>
            <w:tcW w:w="1100" w:type="dxa"/>
            <w:vAlign w:val="bottom"/>
            <w:gridSpan w:val="3"/>
          </w:tcPr>
          <w:p>
            <w:pPr>
              <w:jc w:val="center"/>
              <w:ind w:right="280"/>
              <w:spacing w:after="0" w:line="182" w:lineRule="exact"/>
              <w:rPr>
                <w:sz w:val="20"/>
                <w:szCs w:val="20"/>
                <w:color w:val="auto"/>
              </w:rPr>
            </w:pPr>
            <w:r>
              <w:rPr>
                <w:rFonts w:ascii="Arial" w:cs="Arial" w:eastAsia="Arial" w:hAnsi="Arial"/>
                <w:sz w:val="16"/>
                <w:szCs w:val="16"/>
                <w:color w:val="auto"/>
              </w:rPr>
              <w:t>Wtd. Avg.</w:t>
            </w:r>
          </w:p>
        </w:tc>
        <w:tc>
          <w:tcPr>
            <w:tcW w:w="1800" w:type="dxa"/>
            <w:vAlign w:val="bottom"/>
            <w:gridSpan w:val="2"/>
          </w:tcPr>
          <w:p>
            <w:pPr>
              <w:jc w:val="center"/>
              <w:ind w:right="260"/>
              <w:spacing w:after="0" w:line="182" w:lineRule="exact"/>
              <w:rPr>
                <w:sz w:val="20"/>
                <w:szCs w:val="20"/>
                <w:color w:val="auto"/>
              </w:rPr>
            </w:pPr>
            <w:r>
              <w:rPr>
                <w:rFonts w:ascii="Arial" w:cs="Arial" w:eastAsia="Arial" w:hAnsi="Arial"/>
                <w:sz w:val="16"/>
                <w:szCs w:val="16"/>
                <w:color w:val="auto"/>
                <w:w w:val="99"/>
              </w:rPr>
              <w:t>Wtd. Avg. Remaining</w:t>
            </w:r>
          </w:p>
        </w:tc>
        <w:tc>
          <w:tcPr>
            <w:tcW w:w="1060" w:type="dxa"/>
            <w:vAlign w:val="bottom"/>
            <w:gridSpan w:val="2"/>
          </w:tcPr>
          <w:p>
            <w:pPr>
              <w:spacing w:after="0" w:line="182" w:lineRule="exact"/>
              <w:rPr>
                <w:sz w:val="20"/>
                <w:szCs w:val="20"/>
                <w:color w:val="auto"/>
              </w:rPr>
            </w:pPr>
            <w:r>
              <w:rPr>
                <w:rFonts w:ascii="Arial" w:cs="Arial" w:eastAsia="Arial" w:hAnsi="Arial"/>
                <w:sz w:val="16"/>
                <w:szCs w:val="16"/>
                <w:color w:val="auto"/>
              </w:rPr>
              <w:t>Intrinsic Value</w:t>
            </w:r>
          </w:p>
        </w:tc>
        <w:tc>
          <w:tcPr>
            <w:tcW w:w="27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000</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Ex. Price</w:t>
            </w:r>
          </w:p>
        </w:tc>
        <w:tc>
          <w:tcPr>
            <w:tcW w:w="28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Contract Life</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$000</w:t>
            </w:r>
          </w:p>
        </w:tc>
        <w:tc>
          <w:tcPr>
            <w:tcW w:w="2760" w:type="dxa"/>
            <w:vAlign w:val="bottom"/>
          </w:tcPr>
          <w:p>
            <w:pPr>
              <w:spacing w:after="0"/>
              <w:rPr>
                <w:sz w:val="15"/>
                <w:szCs w:val="15"/>
                <w:color w:val="auto"/>
              </w:rPr>
            </w:pPr>
          </w:p>
        </w:tc>
      </w:tr>
      <w:tr>
        <w:trPr>
          <w:trHeight w:val="174"/>
        </w:trPr>
        <w:tc>
          <w:tcPr>
            <w:tcW w:w="280" w:type="dxa"/>
            <w:vAlign w:val="bottom"/>
          </w:tcPr>
          <w:p>
            <w:pPr>
              <w:spacing w:after="0"/>
              <w:rPr>
                <w:sz w:val="15"/>
                <w:szCs w:val="15"/>
                <w:color w:val="auto"/>
              </w:rPr>
            </w:pPr>
          </w:p>
        </w:tc>
        <w:tc>
          <w:tcPr>
            <w:tcW w:w="33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Outstanding at Beginning of Year</w:t>
            </w:r>
          </w:p>
        </w:tc>
        <w:tc>
          <w:tcPr>
            <w:tcW w:w="1060" w:type="dxa"/>
            <w:vAlign w:val="bottom"/>
            <w:gridSpan w:val="2"/>
            <w:shd w:val="clear" w:color="auto" w:fill="CCEEFF"/>
          </w:tcPr>
          <w:p>
            <w:pPr>
              <w:jc w:val="right"/>
              <w:ind w:right="280"/>
              <w:spacing w:after="0" w:line="175" w:lineRule="exact"/>
              <w:rPr>
                <w:sz w:val="20"/>
                <w:szCs w:val="20"/>
                <w:color w:val="auto"/>
              </w:rPr>
            </w:pPr>
            <w:r>
              <w:rPr>
                <w:rFonts w:ascii="Arial" w:cs="Arial" w:eastAsia="Arial" w:hAnsi="Arial"/>
                <w:sz w:val="16"/>
                <w:szCs w:val="16"/>
                <w:color w:val="auto"/>
              </w:rPr>
              <w:t>391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60"/>
              <w:spacing w:after="0" w:line="175" w:lineRule="exact"/>
              <w:rPr>
                <w:sz w:val="20"/>
                <w:szCs w:val="20"/>
                <w:color w:val="auto"/>
              </w:rPr>
            </w:pPr>
            <w:r>
              <w:rPr>
                <w:rFonts w:ascii="Arial" w:cs="Arial" w:eastAsia="Arial" w:hAnsi="Arial"/>
                <w:sz w:val="16"/>
                <w:szCs w:val="16"/>
                <w:color w:val="auto"/>
              </w:rPr>
              <w:t>17</w:t>
            </w:r>
          </w:p>
        </w:tc>
        <w:tc>
          <w:tcPr>
            <w:tcW w:w="1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spacing w:after="0"/>
              <w:rPr>
                <w:sz w:val="15"/>
                <w:szCs w:val="15"/>
                <w:color w:val="auto"/>
              </w:rPr>
            </w:pP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3380" w:type="dxa"/>
            <w:vAlign w:val="bottom"/>
          </w:tcPr>
          <w:p>
            <w:pPr>
              <w:ind w:left="20"/>
              <w:spacing w:after="0" w:line="182" w:lineRule="exact"/>
              <w:rPr>
                <w:sz w:val="20"/>
                <w:szCs w:val="20"/>
                <w:color w:val="auto"/>
              </w:rPr>
            </w:pPr>
            <w:r>
              <w:rPr>
                <w:rFonts w:ascii="Arial" w:cs="Arial" w:eastAsia="Arial" w:hAnsi="Arial"/>
                <w:sz w:val="16"/>
                <w:szCs w:val="16"/>
                <w:color w:val="auto"/>
              </w:rPr>
              <w:t>Granted</w:t>
            </w:r>
          </w:p>
        </w:tc>
        <w:tc>
          <w:tcPr>
            <w:tcW w:w="1060" w:type="dxa"/>
            <w:vAlign w:val="bottom"/>
            <w:gridSpan w:val="2"/>
          </w:tcPr>
          <w:p>
            <w:pPr>
              <w:jc w:val="right"/>
              <w:ind w:right="280"/>
              <w:spacing w:after="0" w:line="182" w:lineRule="exact"/>
              <w:rPr>
                <w:sz w:val="20"/>
                <w:szCs w:val="20"/>
                <w:color w:val="auto"/>
              </w:rPr>
            </w:pPr>
            <w:r>
              <w:rPr>
                <w:rFonts w:ascii="Arial" w:cs="Arial" w:eastAsia="Arial" w:hAnsi="Arial"/>
                <w:sz w:val="16"/>
                <w:szCs w:val="16"/>
                <w:color w:val="auto"/>
              </w:rPr>
              <w:t>48</w:t>
            </w:r>
          </w:p>
        </w:tc>
        <w:tc>
          <w:tcPr>
            <w:tcW w:w="80" w:type="dxa"/>
            <w:vAlign w:val="bottom"/>
          </w:tcPr>
          <w:p>
            <w:pPr>
              <w:spacing w:after="0"/>
              <w:rPr>
                <w:sz w:val="15"/>
                <w:szCs w:val="15"/>
                <w:color w:val="auto"/>
              </w:rPr>
            </w:pPr>
          </w:p>
        </w:tc>
        <w:tc>
          <w:tcPr>
            <w:tcW w:w="1020" w:type="dxa"/>
            <w:vAlign w:val="bottom"/>
            <w:gridSpan w:val="2"/>
          </w:tcPr>
          <w:p>
            <w:pPr>
              <w:jc w:val="right"/>
              <w:ind w:right="260"/>
              <w:spacing w:after="0" w:line="182" w:lineRule="exact"/>
              <w:rPr>
                <w:sz w:val="20"/>
                <w:szCs w:val="20"/>
                <w:color w:val="auto"/>
              </w:rPr>
            </w:pPr>
            <w:r>
              <w:rPr>
                <w:rFonts w:ascii="Arial" w:cs="Arial" w:eastAsia="Arial" w:hAnsi="Arial"/>
                <w:sz w:val="16"/>
                <w:szCs w:val="16"/>
                <w:color w:val="auto"/>
              </w:rPr>
              <w:t>11</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33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Exercised</w:t>
            </w:r>
          </w:p>
        </w:tc>
        <w:tc>
          <w:tcPr>
            <w:tcW w:w="106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w w:val="89"/>
              </w:rPr>
              <w:t>$</w:t>
            </w:r>
          </w:p>
        </w:tc>
        <w:tc>
          <w:tcPr>
            <w:tcW w:w="96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0</w:t>
            </w: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3380" w:type="dxa"/>
            <w:vAlign w:val="bottom"/>
          </w:tcPr>
          <w:p>
            <w:pPr>
              <w:ind w:left="20"/>
              <w:spacing w:after="0" w:line="182" w:lineRule="exact"/>
              <w:rPr>
                <w:sz w:val="20"/>
                <w:szCs w:val="20"/>
                <w:color w:val="auto"/>
              </w:rPr>
            </w:pPr>
            <w:r>
              <w:rPr>
                <w:rFonts w:ascii="Arial" w:cs="Arial" w:eastAsia="Arial" w:hAnsi="Arial"/>
                <w:sz w:val="16"/>
                <w:szCs w:val="16"/>
                <w:color w:val="auto"/>
              </w:rPr>
              <w:t>Forfeited</w:t>
            </w:r>
          </w:p>
        </w:tc>
        <w:tc>
          <w:tcPr>
            <w:tcW w:w="106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(10)</w:t>
            </w:r>
          </w:p>
        </w:tc>
        <w:tc>
          <w:tcPr>
            <w:tcW w:w="80" w:type="dxa"/>
            <w:vAlign w:val="bottom"/>
          </w:tcPr>
          <w:p>
            <w:pPr>
              <w:spacing w:after="0"/>
              <w:rPr>
                <w:sz w:val="15"/>
                <w:szCs w:val="15"/>
                <w:color w:val="auto"/>
              </w:rPr>
            </w:pPr>
          </w:p>
        </w:tc>
        <w:tc>
          <w:tcPr>
            <w:tcW w:w="1020" w:type="dxa"/>
            <w:vAlign w:val="bottom"/>
            <w:gridSpan w:val="2"/>
          </w:tcPr>
          <w:p>
            <w:pPr>
              <w:jc w:val="right"/>
              <w:ind w:right="260"/>
              <w:spacing w:after="0" w:line="182" w:lineRule="exact"/>
              <w:rPr>
                <w:sz w:val="20"/>
                <w:szCs w:val="20"/>
                <w:color w:val="auto"/>
              </w:rPr>
            </w:pPr>
            <w:r>
              <w:rPr>
                <w:rFonts w:ascii="Arial" w:cs="Arial" w:eastAsia="Arial" w:hAnsi="Arial"/>
                <w:sz w:val="16"/>
                <w:szCs w:val="16"/>
                <w:color w:val="auto"/>
              </w:rPr>
              <w:t>14</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187"/>
        </w:trPr>
        <w:tc>
          <w:tcPr>
            <w:tcW w:w="2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760" w:type="dxa"/>
            <w:vAlign w:val="bottom"/>
          </w:tcPr>
          <w:p>
            <w:pPr>
              <w:spacing w:after="0"/>
              <w:rPr>
                <w:sz w:val="16"/>
                <w:szCs w:val="16"/>
                <w:color w:val="auto"/>
              </w:rPr>
            </w:pPr>
          </w:p>
        </w:tc>
      </w:tr>
      <w:tr>
        <w:trPr>
          <w:trHeight w:val="182"/>
        </w:trPr>
        <w:tc>
          <w:tcPr>
            <w:tcW w:w="280" w:type="dxa"/>
            <w:vAlign w:val="bottom"/>
          </w:tcPr>
          <w:p>
            <w:pPr>
              <w:spacing w:after="0"/>
              <w:rPr>
                <w:sz w:val="15"/>
                <w:szCs w:val="15"/>
                <w:color w:val="auto"/>
              </w:rPr>
            </w:pPr>
          </w:p>
        </w:tc>
        <w:tc>
          <w:tcPr>
            <w:tcW w:w="33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Outstanding at End of Year</w:t>
            </w:r>
          </w:p>
        </w:tc>
        <w:tc>
          <w:tcPr>
            <w:tcW w:w="106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6"/>
                <w:szCs w:val="16"/>
                <w:color w:val="auto"/>
              </w:rPr>
              <w:t>429</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16</w:t>
            </w:r>
          </w:p>
        </w:tc>
        <w:tc>
          <w:tcPr>
            <w:tcW w:w="1800" w:type="dxa"/>
            <w:vAlign w:val="bottom"/>
            <w:gridSpan w:val="2"/>
            <w:shd w:val="clear" w:color="auto" w:fill="CCEEFF"/>
          </w:tcPr>
          <w:p>
            <w:pPr>
              <w:ind w:left="1000"/>
              <w:spacing w:after="0" w:line="182" w:lineRule="exact"/>
              <w:rPr>
                <w:sz w:val="20"/>
                <w:szCs w:val="20"/>
                <w:color w:val="auto"/>
              </w:rPr>
            </w:pPr>
            <w:r>
              <w:rPr>
                <w:rFonts w:ascii="Arial" w:cs="Arial" w:eastAsia="Arial" w:hAnsi="Arial"/>
                <w:sz w:val="16"/>
                <w:szCs w:val="16"/>
                <w:color w:val="auto"/>
              </w:rPr>
              <w:t>5.5 Yrs</w:t>
            </w:r>
          </w:p>
        </w:tc>
        <w:tc>
          <w:tcPr>
            <w:tcW w:w="1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w w:val="89"/>
              </w:rPr>
              <w:t>$</w:t>
            </w:r>
          </w:p>
        </w:tc>
        <w:tc>
          <w:tcPr>
            <w:tcW w:w="96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756</w:t>
            </w:r>
          </w:p>
        </w:tc>
        <w:tc>
          <w:tcPr>
            <w:tcW w:w="2760" w:type="dxa"/>
            <w:vAlign w:val="bottom"/>
          </w:tcPr>
          <w:p>
            <w:pPr>
              <w:spacing w:after="0"/>
              <w:rPr>
                <w:sz w:val="15"/>
                <w:szCs w:val="15"/>
                <w:color w:val="auto"/>
              </w:rPr>
            </w:pPr>
          </w:p>
        </w:tc>
      </w:tr>
      <w:tr>
        <w:trPr>
          <w:trHeight w:val="376"/>
        </w:trPr>
        <w:tc>
          <w:tcPr>
            <w:tcW w:w="28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16"/>
                <w:szCs w:val="16"/>
                <w:color w:val="auto"/>
              </w:rPr>
              <w:t>Exercisable at End of Year</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429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16</w:t>
            </w:r>
          </w:p>
        </w:tc>
        <w:tc>
          <w:tcPr>
            <w:tcW w:w="1800" w:type="dxa"/>
            <w:vAlign w:val="bottom"/>
            <w:gridSpan w:val="2"/>
          </w:tcPr>
          <w:p>
            <w:pPr>
              <w:ind w:left="1000"/>
              <w:spacing w:after="0"/>
              <w:rPr>
                <w:sz w:val="20"/>
                <w:szCs w:val="20"/>
                <w:color w:val="auto"/>
              </w:rPr>
            </w:pPr>
            <w:r>
              <w:rPr>
                <w:rFonts w:ascii="Arial" w:cs="Arial" w:eastAsia="Arial" w:hAnsi="Arial"/>
                <w:sz w:val="16"/>
                <w:szCs w:val="16"/>
                <w:color w:val="auto"/>
              </w:rPr>
              <w:t>5.5 Yrs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756</w:t>
            </w:r>
          </w:p>
        </w:tc>
        <w:tc>
          <w:tcPr>
            <w:tcW w:w="2760" w:type="dxa"/>
            <w:vAlign w:val="bottom"/>
          </w:tcPr>
          <w:p>
            <w:pPr>
              <w:spacing w:after="0"/>
              <w:rPr>
                <w:sz w:val="24"/>
                <w:szCs w:val="24"/>
                <w:color w:val="auto"/>
              </w:rPr>
            </w:pPr>
          </w:p>
        </w:tc>
      </w:tr>
      <w:tr>
        <w:trPr>
          <w:trHeight w:val="353"/>
        </w:trPr>
        <w:tc>
          <w:tcPr>
            <w:tcW w:w="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2008</w:t>
            </w: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760" w:type="dxa"/>
            <w:vAlign w:val="bottom"/>
          </w:tcPr>
          <w:p>
            <w:pPr>
              <w:spacing w:after="0"/>
              <w:rPr>
                <w:sz w:val="24"/>
                <w:szCs w:val="24"/>
                <w:color w:val="auto"/>
              </w:rPr>
            </w:pPr>
          </w:p>
        </w:tc>
      </w:tr>
      <w:tr>
        <w:trPr>
          <w:trHeight w:val="174"/>
        </w:trPr>
        <w:tc>
          <w:tcPr>
            <w:tcW w:w="2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center"/>
              <w:ind w:right="99"/>
              <w:spacing w:after="0" w:line="174" w:lineRule="exact"/>
              <w:rPr>
                <w:sz w:val="20"/>
                <w:szCs w:val="20"/>
                <w:color w:val="auto"/>
              </w:rPr>
            </w:pPr>
            <w:r>
              <w:rPr>
                <w:rFonts w:ascii="Arial" w:cs="Arial" w:eastAsia="Arial" w:hAnsi="Arial"/>
                <w:sz w:val="16"/>
                <w:szCs w:val="16"/>
                <w:color w:val="auto"/>
              </w:rPr>
              <w:t>Aggregate</w:t>
            </w: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1060" w:type="dxa"/>
            <w:vAlign w:val="bottom"/>
            <w:gridSpan w:val="2"/>
          </w:tcPr>
          <w:p>
            <w:pPr>
              <w:jc w:val="center"/>
              <w:ind w:right="300"/>
              <w:spacing w:after="0" w:line="182" w:lineRule="exact"/>
              <w:rPr>
                <w:sz w:val="20"/>
                <w:szCs w:val="20"/>
                <w:color w:val="auto"/>
              </w:rPr>
            </w:pPr>
            <w:r>
              <w:rPr>
                <w:rFonts w:ascii="Arial" w:cs="Arial" w:eastAsia="Arial" w:hAnsi="Arial"/>
                <w:sz w:val="16"/>
                <w:szCs w:val="16"/>
                <w:color w:val="auto"/>
              </w:rPr>
              <w:t>Shares</w:t>
            </w:r>
          </w:p>
        </w:tc>
        <w:tc>
          <w:tcPr>
            <w:tcW w:w="1100" w:type="dxa"/>
            <w:vAlign w:val="bottom"/>
            <w:gridSpan w:val="3"/>
          </w:tcPr>
          <w:p>
            <w:pPr>
              <w:jc w:val="center"/>
              <w:ind w:right="280"/>
              <w:spacing w:after="0" w:line="182" w:lineRule="exact"/>
              <w:rPr>
                <w:sz w:val="20"/>
                <w:szCs w:val="20"/>
                <w:color w:val="auto"/>
              </w:rPr>
            </w:pPr>
            <w:r>
              <w:rPr>
                <w:rFonts w:ascii="Arial" w:cs="Arial" w:eastAsia="Arial" w:hAnsi="Arial"/>
                <w:sz w:val="16"/>
                <w:szCs w:val="16"/>
                <w:color w:val="auto"/>
              </w:rPr>
              <w:t>Wtd. Avg.</w:t>
            </w:r>
          </w:p>
        </w:tc>
        <w:tc>
          <w:tcPr>
            <w:tcW w:w="1800" w:type="dxa"/>
            <w:vAlign w:val="bottom"/>
            <w:gridSpan w:val="2"/>
          </w:tcPr>
          <w:p>
            <w:pPr>
              <w:jc w:val="center"/>
              <w:ind w:right="260"/>
              <w:spacing w:after="0" w:line="182" w:lineRule="exact"/>
              <w:rPr>
                <w:sz w:val="20"/>
                <w:szCs w:val="20"/>
                <w:color w:val="auto"/>
              </w:rPr>
            </w:pPr>
            <w:r>
              <w:rPr>
                <w:rFonts w:ascii="Arial" w:cs="Arial" w:eastAsia="Arial" w:hAnsi="Arial"/>
                <w:sz w:val="16"/>
                <w:szCs w:val="16"/>
                <w:color w:val="auto"/>
                <w:w w:val="99"/>
              </w:rPr>
              <w:t>Wtd. Avg. Remaining</w:t>
            </w:r>
          </w:p>
        </w:tc>
        <w:tc>
          <w:tcPr>
            <w:tcW w:w="1060" w:type="dxa"/>
            <w:vAlign w:val="bottom"/>
            <w:gridSpan w:val="2"/>
          </w:tcPr>
          <w:p>
            <w:pPr>
              <w:spacing w:after="0" w:line="182" w:lineRule="exact"/>
              <w:rPr>
                <w:sz w:val="20"/>
                <w:szCs w:val="20"/>
                <w:color w:val="auto"/>
              </w:rPr>
            </w:pPr>
            <w:r>
              <w:rPr>
                <w:rFonts w:ascii="Arial" w:cs="Arial" w:eastAsia="Arial" w:hAnsi="Arial"/>
                <w:sz w:val="16"/>
                <w:szCs w:val="16"/>
                <w:color w:val="auto"/>
              </w:rPr>
              <w:t>Intrinsic Value</w:t>
            </w:r>
          </w:p>
        </w:tc>
        <w:tc>
          <w:tcPr>
            <w:tcW w:w="2760" w:type="dxa"/>
            <w:vAlign w:val="bottom"/>
          </w:tcPr>
          <w:p>
            <w:pPr>
              <w:spacing w:after="0"/>
              <w:rPr>
                <w:sz w:val="15"/>
                <w:szCs w:val="15"/>
                <w:color w:val="auto"/>
              </w:rPr>
            </w:pPr>
          </w:p>
        </w:tc>
      </w:tr>
      <w:tr>
        <w:trPr>
          <w:trHeight w:val="183"/>
        </w:trPr>
        <w:tc>
          <w:tcPr>
            <w:tcW w:w="28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000</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Ex. Price</w:t>
            </w:r>
          </w:p>
        </w:tc>
        <w:tc>
          <w:tcPr>
            <w:tcW w:w="28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Contract Life</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rPr>
              <w:t>$000</w:t>
            </w:r>
          </w:p>
        </w:tc>
        <w:tc>
          <w:tcPr>
            <w:tcW w:w="2760" w:type="dxa"/>
            <w:vAlign w:val="bottom"/>
          </w:tcPr>
          <w:p>
            <w:pPr>
              <w:spacing w:after="0"/>
              <w:rPr>
                <w:sz w:val="15"/>
                <w:szCs w:val="15"/>
                <w:color w:val="auto"/>
              </w:rPr>
            </w:pPr>
          </w:p>
        </w:tc>
      </w:tr>
      <w:tr>
        <w:trPr>
          <w:trHeight w:val="174"/>
        </w:trPr>
        <w:tc>
          <w:tcPr>
            <w:tcW w:w="280" w:type="dxa"/>
            <w:vAlign w:val="bottom"/>
          </w:tcPr>
          <w:p>
            <w:pPr>
              <w:spacing w:after="0"/>
              <w:rPr>
                <w:sz w:val="15"/>
                <w:szCs w:val="15"/>
                <w:color w:val="auto"/>
              </w:rPr>
            </w:pPr>
          </w:p>
        </w:tc>
        <w:tc>
          <w:tcPr>
            <w:tcW w:w="33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Outstanding at Beginning of Year</w:t>
            </w:r>
          </w:p>
        </w:tc>
        <w:tc>
          <w:tcPr>
            <w:tcW w:w="1060" w:type="dxa"/>
            <w:vAlign w:val="bottom"/>
            <w:gridSpan w:val="2"/>
            <w:shd w:val="clear" w:color="auto" w:fill="CCEEFF"/>
          </w:tcPr>
          <w:p>
            <w:pPr>
              <w:jc w:val="right"/>
              <w:ind w:right="280"/>
              <w:spacing w:after="0" w:line="175" w:lineRule="exact"/>
              <w:rPr>
                <w:sz w:val="20"/>
                <w:szCs w:val="20"/>
                <w:color w:val="auto"/>
              </w:rPr>
            </w:pPr>
            <w:r>
              <w:rPr>
                <w:rFonts w:ascii="Arial" w:cs="Arial" w:eastAsia="Arial" w:hAnsi="Arial"/>
                <w:sz w:val="16"/>
                <w:szCs w:val="16"/>
                <w:color w:val="auto"/>
              </w:rPr>
              <w:t>363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60"/>
              <w:spacing w:after="0" w:line="175" w:lineRule="exact"/>
              <w:rPr>
                <w:sz w:val="20"/>
                <w:szCs w:val="20"/>
                <w:color w:val="auto"/>
              </w:rPr>
            </w:pPr>
            <w:r>
              <w:rPr>
                <w:rFonts w:ascii="Arial" w:cs="Arial" w:eastAsia="Arial" w:hAnsi="Arial"/>
                <w:sz w:val="16"/>
                <w:szCs w:val="16"/>
                <w:color w:val="auto"/>
              </w:rPr>
              <w:t>16</w:t>
            </w:r>
          </w:p>
        </w:tc>
        <w:tc>
          <w:tcPr>
            <w:tcW w:w="1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tcBorders>
              <w:right w:val="single" w:sz="8" w:color="CCEEFF"/>
            </w:tcBorders>
            <w:shd w:val="clear" w:color="auto" w:fill="CCEEFF"/>
          </w:tcPr>
          <w:p>
            <w:pPr>
              <w:spacing w:after="0"/>
              <w:rPr>
                <w:sz w:val="15"/>
                <w:szCs w:val="15"/>
                <w:color w:val="auto"/>
              </w:rPr>
            </w:pP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3380" w:type="dxa"/>
            <w:vAlign w:val="bottom"/>
          </w:tcPr>
          <w:p>
            <w:pPr>
              <w:ind w:left="20"/>
              <w:spacing w:after="0" w:line="182" w:lineRule="exact"/>
              <w:rPr>
                <w:sz w:val="20"/>
                <w:szCs w:val="20"/>
                <w:color w:val="auto"/>
              </w:rPr>
            </w:pPr>
            <w:r>
              <w:rPr>
                <w:rFonts w:ascii="Arial" w:cs="Arial" w:eastAsia="Arial" w:hAnsi="Arial"/>
                <w:sz w:val="16"/>
                <w:szCs w:val="16"/>
                <w:color w:val="auto"/>
              </w:rPr>
              <w:t>Granted</w:t>
            </w:r>
          </w:p>
        </w:tc>
        <w:tc>
          <w:tcPr>
            <w:tcW w:w="1060" w:type="dxa"/>
            <w:vAlign w:val="bottom"/>
            <w:gridSpan w:val="2"/>
          </w:tcPr>
          <w:p>
            <w:pPr>
              <w:jc w:val="right"/>
              <w:ind w:right="280"/>
              <w:spacing w:after="0" w:line="182" w:lineRule="exact"/>
              <w:rPr>
                <w:sz w:val="20"/>
                <w:szCs w:val="20"/>
                <w:color w:val="auto"/>
              </w:rPr>
            </w:pPr>
            <w:r>
              <w:rPr>
                <w:rFonts w:ascii="Arial" w:cs="Arial" w:eastAsia="Arial" w:hAnsi="Arial"/>
                <w:sz w:val="16"/>
                <w:szCs w:val="16"/>
                <w:color w:val="auto"/>
              </w:rPr>
              <w:t>48</w:t>
            </w:r>
          </w:p>
        </w:tc>
        <w:tc>
          <w:tcPr>
            <w:tcW w:w="80" w:type="dxa"/>
            <w:vAlign w:val="bottom"/>
          </w:tcPr>
          <w:p>
            <w:pPr>
              <w:spacing w:after="0"/>
              <w:rPr>
                <w:sz w:val="15"/>
                <w:szCs w:val="15"/>
                <w:color w:val="auto"/>
              </w:rPr>
            </w:pPr>
          </w:p>
        </w:tc>
        <w:tc>
          <w:tcPr>
            <w:tcW w:w="1020" w:type="dxa"/>
            <w:vAlign w:val="bottom"/>
            <w:gridSpan w:val="2"/>
          </w:tcPr>
          <w:p>
            <w:pPr>
              <w:jc w:val="right"/>
              <w:ind w:right="260"/>
              <w:spacing w:after="0" w:line="182" w:lineRule="exact"/>
              <w:rPr>
                <w:sz w:val="20"/>
                <w:szCs w:val="20"/>
                <w:color w:val="auto"/>
              </w:rPr>
            </w:pPr>
            <w:r>
              <w:rPr>
                <w:rFonts w:ascii="Arial" w:cs="Arial" w:eastAsia="Arial" w:hAnsi="Arial"/>
                <w:sz w:val="16"/>
                <w:szCs w:val="16"/>
                <w:color w:val="auto"/>
              </w:rPr>
              <w:t>19</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33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Exercised</w:t>
            </w:r>
          </w:p>
        </w:tc>
        <w:tc>
          <w:tcPr>
            <w:tcW w:w="106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(20)</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9</w:t>
            </w:r>
          </w:p>
        </w:tc>
        <w:tc>
          <w:tcPr>
            <w:tcW w:w="1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w w:val="89"/>
              </w:rPr>
              <w:t>$</w:t>
            </w:r>
          </w:p>
        </w:tc>
        <w:tc>
          <w:tcPr>
            <w:tcW w:w="96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194</w:t>
            </w:r>
          </w:p>
        </w:tc>
        <w:tc>
          <w:tcPr>
            <w:tcW w:w="276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3380" w:type="dxa"/>
            <w:vAlign w:val="bottom"/>
          </w:tcPr>
          <w:p>
            <w:pPr>
              <w:ind w:left="20"/>
              <w:spacing w:after="0" w:line="182" w:lineRule="exact"/>
              <w:rPr>
                <w:sz w:val="20"/>
                <w:szCs w:val="20"/>
                <w:color w:val="auto"/>
              </w:rPr>
            </w:pPr>
            <w:r>
              <w:rPr>
                <w:rFonts w:ascii="Arial" w:cs="Arial" w:eastAsia="Arial" w:hAnsi="Arial"/>
                <w:sz w:val="16"/>
                <w:szCs w:val="16"/>
                <w:color w:val="auto"/>
              </w:rPr>
              <w:t>Forfeited</w:t>
            </w:r>
          </w:p>
        </w:tc>
        <w:tc>
          <w:tcPr>
            <w:tcW w:w="106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220"/>
              <w:spacing w:after="0" w:line="182" w:lineRule="exact"/>
              <w:rPr>
                <w:sz w:val="20"/>
                <w:szCs w:val="20"/>
                <w:color w:val="auto"/>
              </w:rPr>
            </w:pPr>
            <w:r>
              <w:rPr>
                <w:rFonts w:ascii="Arial" w:cs="Arial" w:eastAsia="Arial" w:hAnsi="Arial"/>
                <w:sz w:val="16"/>
                <w:szCs w:val="16"/>
                <w:color w:val="auto"/>
              </w:rPr>
              <w:t>(—)</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760" w:type="dxa"/>
            <w:vAlign w:val="bottom"/>
          </w:tcPr>
          <w:p>
            <w:pPr>
              <w:spacing w:after="0"/>
              <w:rPr>
                <w:sz w:val="15"/>
                <w:szCs w:val="15"/>
                <w:color w:val="auto"/>
              </w:rPr>
            </w:pPr>
          </w:p>
        </w:tc>
      </w:tr>
      <w:tr>
        <w:trPr>
          <w:trHeight w:val="187"/>
        </w:trPr>
        <w:tc>
          <w:tcPr>
            <w:tcW w:w="28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760" w:type="dxa"/>
            <w:vAlign w:val="bottom"/>
          </w:tcPr>
          <w:p>
            <w:pPr>
              <w:spacing w:after="0"/>
              <w:rPr>
                <w:sz w:val="16"/>
                <w:szCs w:val="16"/>
                <w:color w:val="auto"/>
              </w:rPr>
            </w:pPr>
          </w:p>
        </w:tc>
      </w:tr>
      <w:tr>
        <w:trPr>
          <w:trHeight w:val="182"/>
        </w:trPr>
        <w:tc>
          <w:tcPr>
            <w:tcW w:w="280" w:type="dxa"/>
            <w:vAlign w:val="bottom"/>
          </w:tcPr>
          <w:p>
            <w:pPr>
              <w:spacing w:after="0"/>
              <w:rPr>
                <w:sz w:val="15"/>
                <w:szCs w:val="15"/>
                <w:color w:val="auto"/>
              </w:rPr>
            </w:pPr>
          </w:p>
        </w:tc>
        <w:tc>
          <w:tcPr>
            <w:tcW w:w="33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Outstanding at End of Year</w:t>
            </w:r>
          </w:p>
        </w:tc>
        <w:tc>
          <w:tcPr>
            <w:tcW w:w="106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6"/>
                <w:szCs w:val="16"/>
                <w:color w:val="auto"/>
              </w:rPr>
              <w:t>391</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17</w:t>
            </w:r>
          </w:p>
        </w:tc>
        <w:tc>
          <w:tcPr>
            <w:tcW w:w="1800" w:type="dxa"/>
            <w:vAlign w:val="bottom"/>
            <w:gridSpan w:val="2"/>
            <w:shd w:val="clear" w:color="auto" w:fill="CCEEFF"/>
          </w:tcPr>
          <w:p>
            <w:pPr>
              <w:ind w:left="1000"/>
              <w:spacing w:after="0" w:line="182" w:lineRule="exact"/>
              <w:rPr>
                <w:sz w:val="20"/>
                <w:szCs w:val="20"/>
                <w:color w:val="auto"/>
              </w:rPr>
            </w:pPr>
            <w:r>
              <w:rPr>
                <w:rFonts w:ascii="Arial" w:cs="Arial" w:eastAsia="Arial" w:hAnsi="Arial"/>
                <w:sz w:val="16"/>
                <w:szCs w:val="16"/>
                <w:color w:val="auto"/>
              </w:rPr>
              <w:t>5.8 Yrs</w:t>
            </w:r>
          </w:p>
        </w:tc>
        <w:tc>
          <w:tcPr>
            <w:tcW w:w="1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w w:val="89"/>
              </w:rPr>
              <w:t>$</w:t>
            </w:r>
          </w:p>
        </w:tc>
        <w:tc>
          <w:tcPr>
            <w:tcW w:w="960" w:type="dxa"/>
            <w:vAlign w:val="bottom"/>
            <w:tcBorders>
              <w:right w:val="single" w:sz="8" w:color="CCEEFF"/>
            </w:tcBorders>
            <w:shd w:val="clear" w:color="auto" w:fill="CCEEFF"/>
          </w:tcPr>
          <w:p>
            <w:pPr>
              <w:jc w:val="right"/>
              <w:spacing w:after="0" w:line="182" w:lineRule="exact"/>
              <w:rPr>
                <w:sz w:val="20"/>
                <w:szCs w:val="20"/>
                <w:color w:val="auto"/>
              </w:rPr>
            </w:pPr>
            <w:r>
              <w:rPr>
                <w:rFonts w:ascii="Arial" w:cs="Arial" w:eastAsia="Arial" w:hAnsi="Arial"/>
                <w:sz w:val="16"/>
                <w:szCs w:val="16"/>
                <w:color w:val="auto"/>
              </w:rPr>
              <w:t>0</w:t>
            </w:r>
          </w:p>
        </w:tc>
        <w:tc>
          <w:tcPr>
            <w:tcW w:w="2760" w:type="dxa"/>
            <w:vAlign w:val="bottom"/>
          </w:tcPr>
          <w:p>
            <w:pPr>
              <w:spacing w:after="0"/>
              <w:rPr>
                <w:sz w:val="15"/>
                <w:szCs w:val="15"/>
                <w:color w:val="auto"/>
              </w:rPr>
            </w:pPr>
          </w:p>
        </w:tc>
      </w:tr>
      <w:tr>
        <w:trPr>
          <w:trHeight w:val="376"/>
        </w:trPr>
        <w:tc>
          <w:tcPr>
            <w:tcW w:w="280" w:type="dxa"/>
            <w:vAlign w:val="bottom"/>
          </w:tcPr>
          <w:p>
            <w:pPr>
              <w:spacing w:after="0"/>
              <w:rPr>
                <w:sz w:val="24"/>
                <w:szCs w:val="24"/>
                <w:color w:val="auto"/>
              </w:rPr>
            </w:pPr>
          </w:p>
        </w:tc>
        <w:tc>
          <w:tcPr>
            <w:tcW w:w="3380" w:type="dxa"/>
            <w:vAlign w:val="bottom"/>
          </w:tcPr>
          <w:p>
            <w:pPr>
              <w:ind w:left="20"/>
              <w:spacing w:after="0"/>
              <w:rPr>
                <w:sz w:val="20"/>
                <w:szCs w:val="20"/>
                <w:color w:val="auto"/>
              </w:rPr>
            </w:pPr>
            <w:r>
              <w:rPr>
                <w:rFonts w:ascii="Arial" w:cs="Arial" w:eastAsia="Arial" w:hAnsi="Arial"/>
                <w:sz w:val="16"/>
                <w:szCs w:val="16"/>
                <w:color w:val="auto"/>
              </w:rPr>
              <w:t>Exercisable at End of Year</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391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17</w:t>
            </w:r>
          </w:p>
        </w:tc>
        <w:tc>
          <w:tcPr>
            <w:tcW w:w="1800" w:type="dxa"/>
            <w:vAlign w:val="bottom"/>
            <w:gridSpan w:val="2"/>
          </w:tcPr>
          <w:p>
            <w:pPr>
              <w:ind w:left="1000"/>
              <w:spacing w:after="0"/>
              <w:rPr>
                <w:sz w:val="20"/>
                <w:szCs w:val="20"/>
                <w:color w:val="auto"/>
              </w:rPr>
            </w:pPr>
            <w:r>
              <w:rPr>
                <w:rFonts w:ascii="Arial" w:cs="Arial" w:eastAsia="Arial" w:hAnsi="Arial"/>
                <w:sz w:val="16"/>
                <w:szCs w:val="16"/>
                <w:color w:val="auto"/>
              </w:rPr>
              <w:t>5.8 Yrs</w:t>
            </w: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0</w:t>
            </w:r>
          </w:p>
        </w:tc>
        <w:tc>
          <w:tcPr>
            <w:tcW w:w="2760" w:type="dxa"/>
            <w:vAlign w:val="bottom"/>
          </w:tcPr>
          <w:p>
            <w:pPr>
              <w:spacing w:after="0"/>
              <w:rPr>
                <w:sz w:val="24"/>
                <w:szCs w:val="24"/>
                <w:color w:val="auto"/>
              </w:rPr>
            </w:pPr>
          </w:p>
        </w:tc>
      </w:tr>
      <w:tr>
        <w:trPr>
          <w:trHeight w:val="693"/>
        </w:trPr>
        <w:tc>
          <w:tcPr>
            <w:tcW w:w="2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- 46 -</w:t>
            </w: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191"/>
        </w:trPr>
        <w:tc>
          <w:tcPr>
            <w:tcW w:w="280" w:type="dxa"/>
            <w:vAlign w:val="bottom"/>
            <w:tcBorders>
              <w:bottom w:val="single" w:sz="8" w:color="808080"/>
            </w:tcBorders>
          </w:tcPr>
          <w:p>
            <w:pPr>
              <w:spacing w:after="0"/>
              <w:rPr>
                <w:sz w:val="16"/>
                <w:szCs w:val="16"/>
                <w:color w:val="auto"/>
              </w:rPr>
            </w:pPr>
          </w:p>
        </w:tc>
        <w:tc>
          <w:tcPr>
            <w:tcW w:w="3380" w:type="dxa"/>
            <w:vAlign w:val="bottom"/>
            <w:tcBorders>
              <w:bottom w:val="single" w:sz="8" w:color="808080"/>
            </w:tcBorders>
          </w:tcPr>
          <w:p>
            <w:pPr>
              <w:spacing w:after="0"/>
              <w:rPr>
                <w:sz w:val="16"/>
                <w:szCs w:val="16"/>
                <w:color w:val="auto"/>
              </w:rPr>
            </w:pPr>
          </w:p>
        </w:tc>
        <w:tc>
          <w:tcPr>
            <w:tcW w:w="78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80" w:type="dxa"/>
            <w:vAlign w:val="bottom"/>
            <w:tcBorders>
              <w:bottom w:val="single" w:sz="8" w:color="808080"/>
            </w:tcBorders>
          </w:tcPr>
          <w:p>
            <w:pPr>
              <w:spacing w:after="0"/>
              <w:rPr>
                <w:sz w:val="16"/>
                <w:szCs w:val="16"/>
                <w:color w:val="auto"/>
              </w:rPr>
            </w:pPr>
          </w:p>
        </w:tc>
        <w:tc>
          <w:tcPr>
            <w:tcW w:w="74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1520" w:type="dxa"/>
            <w:vAlign w:val="bottom"/>
            <w:tcBorders>
              <w:bottom w:val="single" w:sz="8" w:color="808080"/>
            </w:tcBorders>
          </w:tcPr>
          <w:p>
            <w:pPr>
              <w:spacing w:after="0"/>
              <w:rPr>
                <w:sz w:val="16"/>
                <w:szCs w:val="16"/>
                <w:color w:val="auto"/>
              </w:rPr>
            </w:pPr>
          </w:p>
        </w:tc>
        <w:tc>
          <w:tcPr>
            <w:tcW w:w="280" w:type="dxa"/>
            <w:vAlign w:val="bottom"/>
            <w:tcBorders>
              <w:bottom w:val="single" w:sz="8" w:color="808080"/>
            </w:tcBorders>
          </w:tcPr>
          <w:p>
            <w:pPr>
              <w:spacing w:after="0"/>
              <w:rPr>
                <w:sz w:val="16"/>
                <w:szCs w:val="16"/>
                <w:color w:val="auto"/>
              </w:rPr>
            </w:pPr>
          </w:p>
        </w:tc>
        <w:tc>
          <w:tcPr>
            <w:tcW w:w="100" w:type="dxa"/>
            <w:vAlign w:val="bottom"/>
            <w:tcBorders>
              <w:bottom w:val="single" w:sz="8" w:color="808080"/>
            </w:tcBorders>
          </w:tcPr>
          <w:p>
            <w:pPr>
              <w:spacing w:after="0"/>
              <w:rPr>
                <w:sz w:val="16"/>
                <w:szCs w:val="16"/>
                <w:color w:val="auto"/>
              </w:rPr>
            </w:pPr>
          </w:p>
        </w:tc>
        <w:tc>
          <w:tcPr>
            <w:tcW w:w="960" w:type="dxa"/>
            <w:vAlign w:val="bottom"/>
            <w:tcBorders>
              <w:bottom w:val="single" w:sz="8" w:color="808080"/>
            </w:tcBorders>
          </w:tcPr>
          <w:p>
            <w:pPr>
              <w:spacing w:after="0"/>
              <w:rPr>
                <w:sz w:val="16"/>
                <w:szCs w:val="16"/>
                <w:color w:val="auto"/>
              </w:rPr>
            </w:pPr>
          </w:p>
        </w:tc>
        <w:tc>
          <w:tcPr>
            <w:tcW w:w="276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-13335</wp:posOffset>
            </wp:positionV>
            <wp:extent cx="1270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-13335</wp:posOffset>
            </wp:positionV>
            <wp:extent cx="1270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91" w:right="21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17"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jc w:val="center"/>
        <w:ind w:right="1239"/>
        <w:spacing w:after="0"/>
        <w:rPr>
          <w:sz w:val="20"/>
          <w:szCs w:val="20"/>
          <w:color w:val="auto"/>
        </w:rPr>
      </w:pPr>
      <w:r>
        <w:rPr>
          <w:rFonts w:ascii="Arial" w:cs="Arial" w:eastAsia="Arial" w:hAnsi="Arial"/>
          <w:sz w:val="16"/>
          <w:szCs w:val="16"/>
          <w:b w:val="1"/>
          <w:bCs w:val="1"/>
          <w:color w:val="auto"/>
        </w:rPr>
        <w:t>(Continued)</w:t>
      </w:r>
    </w:p>
    <w:p>
      <w:pPr>
        <w:spacing w:after="0" w:line="16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(6)  STOCK-BASED COMPENSATION PLANS, continued</w:t>
      </w:r>
    </w:p>
    <w:p>
      <w:pPr>
        <w:spacing w:after="0" w:line="180"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939"/>
              <w:spacing w:after="0"/>
              <w:rPr>
                <w:sz w:val="20"/>
                <w:szCs w:val="20"/>
                <w:color w:val="auto"/>
              </w:rPr>
            </w:pPr>
            <w:r>
              <w:rPr>
                <w:rFonts w:ascii="Arial" w:cs="Arial" w:eastAsia="Arial" w:hAnsi="Arial"/>
                <w:sz w:val="16"/>
                <w:szCs w:val="16"/>
                <w:color w:val="auto"/>
              </w:rPr>
              <w:t>2007</w:t>
            </w:r>
          </w:p>
        </w:tc>
        <w:tc>
          <w:tcPr>
            <w:tcW w:w="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74"/>
        </w:trPr>
        <w:tc>
          <w:tcPr>
            <w:tcW w:w="3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gridSpan w:val="2"/>
          </w:tcPr>
          <w:p>
            <w:pPr>
              <w:ind w:left="120"/>
              <w:spacing w:after="0" w:line="174" w:lineRule="exact"/>
              <w:rPr>
                <w:sz w:val="20"/>
                <w:szCs w:val="20"/>
                <w:color w:val="auto"/>
              </w:rPr>
            </w:pPr>
            <w:r>
              <w:rPr>
                <w:rFonts w:ascii="Arial" w:cs="Arial" w:eastAsia="Arial" w:hAnsi="Arial"/>
                <w:sz w:val="16"/>
                <w:szCs w:val="16"/>
                <w:color w:val="auto"/>
              </w:rPr>
              <w:t>Aggregate</w:t>
            </w:r>
          </w:p>
        </w:tc>
        <w:tc>
          <w:tcPr>
            <w:tcW w:w="60" w:type="dxa"/>
            <w:vAlign w:val="bottom"/>
          </w:tcPr>
          <w:p>
            <w:pPr>
              <w:spacing w:after="0"/>
              <w:rPr>
                <w:sz w:val="15"/>
                <w:szCs w:val="15"/>
                <w:color w:val="auto"/>
              </w:rPr>
            </w:pPr>
          </w:p>
        </w:tc>
      </w:tr>
      <w:tr>
        <w:trPr>
          <w:trHeight w:val="182"/>
        </w:trPr>
        <w:tc>
          <w:tcPr>
            <w:tcW w:w="3380" w:type="dxa"/>
            <w:vAlign w:val="bottom"/>
          </w:tcPr>
          <w:p>
            <w:pPr>
              <w:spacing w:after="0"/>
              <w:rPr>
                <w:sz w:val="15"/>
                <w:szCs w:val="15"/>
                <w:color w:val="auto"/>
              </w:rPr>
            </w:pPr>
          </w:p>
        </w:tc>
        <w:tc>
          <w:tcPr>
            <w:tcW w:w="1060" w:type="dxa"/>
            <w:vAlign w:val="bottom"/>
            <w:gridSpan w:val="2"/>
          </w:tcPr>
          <w:p>
            <w:pPr>
              <w:jc w:val="right"/>
              <w:ind w:right="420"/>
              <w:spacing w:after="0" w:line="182" w:lineRule="exact"/>
              <w:rPr>
                <w:sz w:val="20"/>
                <w:szCs w:val="20"/>
                <w:color w:val="auto"/>
              </w:rPr>
            </w:pPr>
            <w:r>
              <w:rPr>
                <w:rFonts w:ascii="Arial" w:cs="Arial" w:eastAsia="Arial" w:hAnsi="Arial"/>
                <w:sz w:val="16"/>
                <w:szCs w:val="16"/>
                <w:color w:val="auto"/>
              </w:rPr>
              <w:t>Shares</w:t>
            </w:r>
          </w:p>
        </w:tc>
        <w:tc>
          <w:tcPr>
            <w:tcW w:w="1100" w:type="dxa"/>
            <w:vAlign w:val="bottom"/>
            <w:gridSpan w:val="3"/>
          </w:tcPr>
          <w:p>
            <w:pPr>
              <w:jc w:val="center"/>
              <w:ind w:right="280"/>
              <w:spacing w:after="0" w:line="182" w:lineRule="exact"/>
              <w:rPr>
                <w:sz w:val="20"/>
                <w:szCs w:val="20"/>
                <w:color w:val="auto"/>
              </w:rPr>
            </w:pPr>
            <w:r>
              <w:rPr>
                <w:rFonts w:ascii="Arial" w:cs="Arial" w:eastAsia="Arial" w:hAnsi="Arial"/>
                <w:sz w:val="16"/>
                <w:szCs w:val="16"/>
                <w:color w:val="auto"/>
              </w:rPr>
              <w:t>Wtd. Avg.</w:t>
            </w:r>
          </w:p>
        </w:tc>
        <w:tc>
          <w:tcPr>
            <w:tcW w:w="1800" w:type="dxa"/>
            <w:vAlign w:val="bottom"/>
            <w:gridSpan w:val="2"/>
          </w:tcPr>
          <w:p>
            <w:pPr>
              <w:jc w:val="center"/>
              <w:ind w:right="260"/>
              <w:spacing w:after="0" w:line="182" w:lineRule="exact"/>
              <w:rPr>
                <w:sz w:val="20"/>
                <w:szCs w:val="20"/>
                <w:color w:val="auto"/>
              </w:rPr>
            </w:pPr>
            <w:r>
              <w:rPr>
                <w:rFonts w:ascii="Arial" w:cs="Arial" w:eastAsia="Arial" w:hAnsi="Arial"/>
                <w:sz w:val="16"/>
                <w:szCs w:val="16"/>
                <w:color w:val="auto"/>
                <w:w w:val="99"/>
              </w:rPr>
              <w:t>Wtd. Avg. Remaining</w:t>
            </w:r>
          </w:p>
        </w:tc>
        <w:tc>
          <w:tcPr>
            <w:tcW w:w="1060" w:type="dxa"/>
            <w:vAlign w:val="bottom"/>
            <w:gridSpan w:val="3"/>
          </w:tcPr>
          <w:p>
            <w:pPr>
              <w:spacing w:after="0" w:line="182" w:lineRule="exact"/>
              <w:rPr>
                <w:sz w:val="20"/>
                <w:szCs w:val="20"/>
                <w:color w:val="auto"/>
              </w:rPr>
            </w:pPr>
            <w:r>
              <w:rPr>
                <w:rFonts w:ascii="Arial" w:cs="Arial" w:eastAsia="Arial" w:hAnsi="Arial"/>
                <w:sz w:val="16"/>
                <w:szCs w:val="16"/>
                <w:color w:val="auto"/>
              </w:rPr>
              <w:t>Intrinsic Value</w:t>
            </w:r>
          </w:p>
        </w:tc>
      </w:tr>
      <w:tr>
        <w:trPr>
          <w:trHeight w:val="183"/>
        </w:trPr>
        <w:tc>
          <w:tcPr>
            <w:tcW w:w="3380" w:type="dxa"/>
            <w:vAlign w:val="bottom"/>
          </w:tcPr>
          <w:p>
            <w:pPr>
              <w:spacing w:after="0"/>
              <w:rPr>
                <w:sz w:val="15"/>
                <w:szCs w:val="15"/>
                <w:color w:val="auto"/>
              </w:rPr>
            </w:pPr>
          </w:p>
        </w:tc>
        <w:tc>
          <w:tcPr>
            <w:tcW w:w="7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000</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Ex. Price</w:t>
            </w:r>
          </w:p>
        </w:tc>
        <w:tc>
          <w:tcPr>
            <w:tcW w:w="28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Contract Life</w:t>
            </w:r>
          </w:p>
        </w:tc>
        <w:tc>
          <w:tcPr>
            <w:tcW w:w="280" w:type="dxa"/>
            <w:vAlign w:val="bottom"/>
          </w:tcPr>
          <w:p>
            <w:pPr>
              <w:spacing w:after="0"/>
              <w:rPr>
                <w:sz w:val="15"/>
                <w:szCs w:val="15"/>
                <w:color w:val="auto"/>
              </w:rPr>
            </w:pPr>
          </w:p>
        </w:tc>
        <w:tc>
          <w:tcPr>
            <w:tcW w:w="40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w w:val="97"/>
              </w:rPr>
              <w:t>000</w:t>
            </w:r>
          </w:p>
        </w:tc>
        <w:tc>
          <w:tcPr>
            <w:tcW w:w="60" w:type="dxa"/>
            <w:vAlign w:val="bottom"/>
          </w:tcPr>
          <w:p>
            <w:pPr>
              <w:spacing w:after="0"/>
              <w:rPr>
                <w:sz w:val="15"/>
                <w:szCs w:val="15"/>
                <w:color w:val="auto"/>
              </w:rPr>
            </w:pPr>
          </w:p>
        </w:tc>
      </w:tr>
      <w:tr>
        <w:trPr>
          <w:trHeight w:val="174"/>
        </w:trPr>
        <w:tc>
          <w:tcPr>
            <w:tcW w:w="338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Outstanding at Beginning of Year</w:t>
            </w:r>
          </w:p>
        </w:tc>
        <w:tc>
          <w:tcPr>
            <w:tcW w:w="1060" w:type="dxa"/>
            <w:vAlign w:val="bottom"/>
            <w:gridSpan w:val="2"/>
            <w:shd w:val="clear" w:color="auto" w:fill="CCEEFF"/>
          </w:tcPr>
          <w:p>
            <w:pPr>
              <w:jc w:val="right"/>
              <w:ind w:right="280"/>
              <w:spacing w:after="0" w:line="175" w:lineRule="exact"/>
              <w:rPr>
                <w:sz w:val="20"/>
                <w:szCs w:val="20"/>
                <w:color w:val="auto"/>
              </w:rPr>
            </w:pPr>
            <w:r>
              <w:rPr>
                <w:rFonts w:ascii="Arial" w:cs="Arial" w:eastAsia="Arial" w:hAnsi="Arial"/>
                <w:sz w:val="16"/>
                <w:szCs w:val="16"/>
                <w:color w:val="auto"/>
              </w:rPr>
              <w:t>341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60"/>
              <w:spacing w:after="0" w:line="175" w:lineRule="exact"/>
              <w:rPr>
                <w:sz w:val="20"/>
                <w:szCs w:val="20"/>
                <w:color w:val="auto"/>
              </w:rPr>
            </w:pPr>
            <w:r>
              <w:rPr>
                <w:rFonts w:ascii="Arial" w:cs="Arial" w:eastAsia="Arial" w:hAnsi="Arial"/>
                <w:sz w:val="16"/>
                <w:szCs w:val="16"/>
                <w:color w:val="auto"/>
              </w:rPr>
              <w:t>15</w:t>
            </w:r>
          </w:p>
        </w:tc>
        <w:tc>
          <w:tcPr>
            <w:tcW w:w="1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2"/>
        </w:trPr>
        <w:tc>
          <w:tcPr>
            <w:tcW w:w="3380" w:type="dxa"/>
            <w:vAlign w:val="bottom"/>
          </w:tcPr>
          <w:p>
            <w:pPr>
              <w:ind w:left="20"/>
              <w:spacing w:after="0" w:line="182" w:lineRule="exact"/>
              <w:rPr>
                <w:sz w:val="20"/>
                <w:szCs w:val="20"/>
                <w:color w:val="auto"/>
              </w:rPr>
            </w:pPr>
            <w:r>
              <w:rPr>
                <w:rFonts w:ascii="Arial" w:cs="Arial" w:eastAsia="Arial" w:hAnsi="Arial"/>
                <w:sz w:val="16"/>
                <w:szCs w:val="16"/>
                <w:color w:val="auto"/>
              </w:rPr>
              <w:t>Granted</w:t>
            </w:r>
          </w:p>
        </w:tc>
        <w:tc>
          <w:tcPr>
            <w:tcW w:w="1060" w:type="dxa"/>
            <w:vAlign w:val="bottom"/>
            <w:gridSpan w:val="2"/>
          </w:tcPr>
          <w:p>
            <w:pPr>
              <w:jc w:val="right"/>
              <w:ind w:right="280"/>
              <w:spacing w:after="0" w:line="182" w:lineRule="exact"/>
              <w:rPr>
                <w:sz w:val="20"/>
                <w:szCs w:val="20"/>
                <w:color w:val="auto"/>
              </w:rPr>
            </w:pPr>
            <w:r>
              <w:rPr>
                <w:rFonts w:ascii="Arial" w:cs="Arial" w:eastAsia="Arial" w:hAnsi="Arial"/>
                <w:sz w:val="16"/>
                <w:szCs w:val="16"/>
                <w:color w:val="auto"/>
              </w:rPr>
              <w:t>48</w:t>
            </w:r>
          </w:p>
        </w:tc>
        <w:tc>
          <w:tcPr>
            <w:tcW w:w="80" w:type="dxa"/>
            <w:vAlign w:val="bottom"/>
          </w:tcPr>
          <w:p>
            <w:pPr>
              <w:spacing w:after="0"/>
              <w:rPr>
                <w:sz w:val="15"/>
                <w:szCs w:val="15"/>
                <w:color w:val="auto"/>
              </w:rPr>
            </w:pPr>
          </w:p>
        </w:tc>
        <w:tc>
          <w:tcPr>
            <w:tcW w:w="1020" w:type="dxa"/>
            <w:vAlign w:val="bottom"/>
            <w:gridSpan w:val="2"/>
          </w:tcPr>
          <w:p>
            <w:pPr>
              <w:jc w:val="right"/>
              <w:ind w:right="260"/>
              <w:spacing w:after="0" w:line="182" w:lineRule="exact"/>
              <w:rPr>
                <w:sz w:val="20"/>
                <w:szCs w:val="20"/>
                <w:color w:val="auto"/>
              </w:rPr>
            </w:pPr>
            <w:r>
              <w:rPr>
                <w:rFonts w:ascii="Arial" w:cs="Arial" w:eastAsia="Arial" w:hAnsi="Arial"/>
                <w:sz w:val="16"/>
                <w:szCs w:val="16"/>
                <w:color w:val="auto"/>
              </w:rPr>
              <w:t>18</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2"/>
        </w:trPr>
        <w:tc>
          <w:tcPr>
            <w:tcW w:w="33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Exercised</w:t>
            </w:r>
          </w:p>
        </w:tc>
        <w:tc>
          <w:tcPr>
            <w:tcW w:w="106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7</w:t>
            </w:r>
          </w:p>
        </w:tc>
        <w:tc>
          <w:tcPr>
            <w:tcW w:w="1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304</w:t>
            </w:r>
          </w:p>
        </w:tc>
      </w:tr>
      <w:tr>
        <w:trPr>
          <w:trHeight w:val="182"/>
        </w:trPr>
        <w:tc>
          <w:tcPr>
            <w:tcW w:w="3380" w:type="dxa"/>
            <w:vAlign w:val="bottom"/>
          </w:tcPr>
          <w:p>
            <w:pPr>
              <w:ind w:left="20"/>
              <w:spacing w:after="0" w:line="182" w:lineRule="exact"/>
              <w:rPr>
                <w:sz w:val="20"/>
                <w:szCs w:val="20"/>
                <w:color w:val="auto"/>
              </w:rPr>
            </w:pPr>
            <w:r>
              <w:rPr>
                <w:rFonts w:ascii="Arial" w:cs="Arial" w:eastAsia="Arial" w:hAnsi="Arial"/>
                <w:sz w:val="16"/>
                <w:szCs w:val="16"/>
                <w:color w:val="auto"/>
              </w:rPr>
              <w:t>Forfeited</w:t>
            </w:r>
          </w:p>
        </w:tc>
        <w:tc>
          <w:tcPr>
            <w:tcW w:w="106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220"/>
              <w:spacing w:after="0" w:line="182" w:lineRule="exact"/>
              <w:rPr>
                <w:sz w:val="20"/>
                <w:szCs w:val="20"/>
                <w:color w:val="auto"/>
              </w:rPr>
            </w:pPr>
            <w:r>
              <w:rPr>
                <w:rFonts w:ascii="Arial" w:cs="Arial" w:eastAsia="Arial" w:hAnsi="Arial"/>
                <w:sz w:val="16"/>
                <w:szCs w:val="16"/>
                <w:color w:val="auto"/>
              </w:rPr>
              <w:t>(—)</w:t>
            </w:r>
          </w:p>
        </w:tc>
        <w:tc>
          <w:tcPr>
            <w:tcW w:w="1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187"/>
        </w:trPr>
        <w:tc>
          <w:tcPr>
            <w:tcW w:w="3380" w:type="dxa"/>
            <w:vAlign w:val="bottom"/>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2"/>
        </w:trPr>
        <w:tc>
          <w:tcPr>
            <w:tcW w:w="338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Outstanding at End of Year</w:t>
            </w:r>
          </w:p>
        </w:tc>
        <w:tc>
          <w:tcPr>
            <w:tcW w:w="1060" w:type="dxa"/>
            <w:vAlign w:val="bottom"/>
            <w:gridSpan w:val="2"/>
            <w:shd w:val="clear" w:color="auto" w:fill="CCEEFF"/>
          </w:tcPr>
          <w:p>
            <w:pPr>
              <w:jc w:val="right"/>
              <w:ind w:right="280"/>
              <w:spacing w:after="0" w:line="182" w:lineRule="exact"/>
              <w:rPr>
                <w:sz w:val="20"/>
                <w:szCs w:val="20"/>
                <w:color w:val="auto"/>
              </w:rPr>
            </w:pPr>
            <w:r>
              <w:rPr>
                <w:rFonts w:ascii="Arial" w:cs="Arial" w:eastAsia="Arial" w:hAnsi="Arial"/>
                <w:sz w:val="16"/>
                <w:szCs w:val="16"/>
                <w:color w:val="auto"/>
              </w:rPr>
              <w:t>363</w:t>
            </w:r>
          </w:p>
        </w:tc>
        <w:tc>
          <w:tcPr>
            <w:tcW w:w="8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16</w:t>
            </w:r>
          </w:p>
        </w:tc>
        <w:tc>
          <w:tcPr>
            <w:tcW w:w="1800" w:type="dxa"/>
            <w:vAlign w:val="bottom"/>
            <w:gridSpan w:val="2"/>
            <w:shd w:val="clear" w:color="auto" w:fill="CCEEFF"/>
          </w:tcPr>
          <w:p>
            <w:pPr>
              <w:ind w:left="1000"/>
              <w:spacing w:after="0" w:line="182" w:lineRule="exact"/>
              <w:rPr>
                <w:sz w:val="20"/>
                <w:szCs w:val="20"/>
                <w:color w:val="auto"/>
              </w:rPr>
            </w:pPr>
            <w:r>
              <w:rPr>
                <w:rFonts w:ascii="Arial" w:cs="Arial" w:eastAsia="Arial" w:hAnsi="Arial"/>
                <w:sz w:val="16"/>
                <w:szCs w:val="16"/>
                <w:color w:val="auto"/>
              </w:rPr>
              <w:t>6.0 Yrs</w:t>
            </w:r>
          </w:p>
        </w:tc>
        <w:tc>
          <w:tcPr>
            <w:tcW w:w="400" w:type="dxa"/>
            <w:vAlign w:val="bottom"/>
            <w:shd w:val="clear" w:color="auto" w:fill="CCEEFF"/>
          </w:tcPr>
          <w:p>
            <w:pPr>
              <w:spacing w:after="0" w:line="182" w:lineRule="exact"/>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631</w:t>
            </w:r>
          </w:p>
        </w:tc>
      </w:tr>
      <w:tr>
        <w:trPr>
          <w:trHeight w:val="376"/>
        </w:trPr>
        <w:tc>
          <w:tcPr>
            <w:tcW w:w="3380" w:type="dxa"/>
            <w:vAlign w:val="bottom"/>
          </w:tcPr>
          <w:p>
            <w:pPr>
              <w:ind w:left="20"/>
              <w:spacing w:after="0"/>
              <w:rPr>
                <w:sz w:val="20"/>
                <w:szCs w:val="20"/>
                <w:color w:val="auto"/>
              </w:rPr>
            </w:pPr>
            <w:r>
              <w:rPr>
                <w:rFonts w:ascii="Arial" w:cs="Arial" w:eastAsia="Arial" w:hAnsi="Arial"/>
                <w:sz w:val="16"/>
                <w:szCs w:val="16"/>
                <w:color w:val="auto"/>
              </w:rPr>
              <w:t>Exercisable at End of Year</w:t>
            </w:r>
          </w:p>
        </w:tc>
        <w:tc>
          <w:tcPr>
            <w:tcW w:w="1060" w:type="dxa"/>
            <w:vAlign w:val="bottom"/>
            <w:gridSpan w:val="2"/>
          </w:tcPr>
          <w:p>
            <w:pPr>
              <w:jc w:val="right"/>
              <w:ind w:right="280"/>
              <w:spacing w:after="0"/>
              <w:rPr>
                <w:sz w:val="20"/>
                <w:szCs w:val="20"/>
                <w:color w:val="auto"/>
              </w:rPr>
            </w:pPr>
            <w:r>
              <w:rPr>
                <w:rFonts w:ascii="Arial" w:cs="Arial" w:eastAsia="Arial" w:hAnsi="Arial"/>
                <w:sz w:val="16"/>
                <w:szCs w:val="16"/>
                <w:color w:val="auto"/>
              </w:rPr>
              <w:t>363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16</w:t>
            </w:r>
          </w:p>
        </w:tc>
        <w:tc>
          <w:tcPr>
            <w:tcW w:w="1800" w:type="dxa"/>
            <w:vAlign w:val="bottom"/>
            <w:gridSpan w:val="2"/>
          </w:tcPr>
          <w:p>
            <w:pPr>
              <w:ind w:left="1000"/>
              <w:spacing w:after="0"/>
              <w:rPr>
                <w:sz w:val="20"/>
                <w:szCs w:val="20"/>
                <w:color w:val="auto"/>
              </w:rPr>
            </w:pPr>
            <w:r>
              <w:rPr>
                <w:rFonts w:ascii="Arial" w:cs="Arial" w:eastAsia="Arial" w:hAnsi="Arial"/>
                <w:sz w:val="16"/>
                <w:szCs w:val="16"/>
                <w:color w:val="auto"/>
              </w:rPr>
              <w:t>6.0 Yrs</w:t>
            </w:r>
          </w:p>
        </w:tc>
        <w:tc>
          <w:tcPr>
            <w:tcW w:w="400" w:type="dxa"/>
            <w:vAlign w:val="bottom"/>
          </w:tcPr>
          <w:p>
            <w:pPr>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631</w:t>
            </w:r>
          </w:p>
        </w:tc>
      </w:tr>
    </w:tbl>
    <w:p>
      <w:pPr>
        <w:spacing w:after="0" w:line="146" w:lineRule="exact"/>
        <w:rPr>
          <w:sz w:val="20"/>
          <w:szCs w:val="20"/>
          <w:color w:val="auto"/>
        </w:rPr>
      </w:pPr>
    </w:p>
    <w:p>
      <w:pPr>
        <w:ind w:left="620" w:right="1599"/>
        <w:spacing w:after="0" w:line="251" w:lineRule="auto"/>
        <w:rPr>
          <w:sz w:val="20"/>
          <w:szCs w:val="20"/>
          <w:color w:val="auto"/>
        </w:rPr>
      </w:pPr>
      <w:r>
        <w:rPr>
          <w:rFonts w:ascii="Arial" w:cs="Arial" w:eastAsia="Arial" w:hAnsi="Arial"/>
          <w:sz w:val="16"/>
          <w:szCs w:val="16"/>
          <w:color w:val="auto"/>
        </w:rPr>
        <w:t>A summary of the status of the Company’s non-vested Non-employee Director Stock Option Plan activity for the years ended December 31, 2009, 2008, and 2007, are presented in the table and narrative below:</w:t>
      </w:r>
    </w:p>
    <w:p>
      <w:pPr>
        <w:spacing w:after="0" w:line="161"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2600" w:type="dxa"/>
            <w:vAlign w:val="bottom"/>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2009</w:t>
            </w:r>
          </w:p>
        </w:tc>
        <w:tc>
          <w:tcPr>
            <w:tcW w:w="6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2008</w:t>
            </w:r>
          </w:p>
        </w:tc>
        <w:tc>
          <w:tcPr>
            <w:tcW w:w="6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2007</w:t>
            </w:r>
          </w:p>
        </w:tc>
        <w:tc>
          <w:tcPr>
            <w:tcW w:w="6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74"/>
        </w:trPr>
        <w:tc>
          <w:tcPr>
            <w:tcW w:w="2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2"/>
          </w:tcPr>
          <w:p>
            <w:pPr>
              <w:jc w:val="center"/>
              <w:spacing w:after="0" w:line="174" w:lineRule="exact"/>
              <w:rPr>
                <w:sz w:val="20"/>
                <w:szCs w:val="20"/>
                <w:color w:val="auto"/>
              </w:rPr>
            </w:pPr>
            <w:r>
              <w:rPr>
                <w:rFonts w:ascii="Arial" w:cs="Arial" w:eastAsia="Arial" w:hAnsi="Arial"/>
                <w:sz w:val="16"/>
                <w:szCs w:val="16"/>
                <w:color w:val="auto"/>
              </w:rPr>
              <w:t>Wtd. Avg</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2"/>
          </w:tcPr>
          <w:p>
            <w:pPr>
              <w:jc w:val="center"/>
              <w:spacing w:after="0" w:line="174" w:lineRule="exact"/>
              <w:rPr>
                <w:sz w:val="20"/>
                <w:szCs w:val="20"/>
                <w:color w:val="auto"/>
              </w:rPr>
            </w:pPr>
            <w:r>
              <w:rPr>
                <w:rFonts w:ascii="Arial" w:cs="Arial" w:eastAsia="Arial" w:hAnsi="Arial"/>
                <w:sz w:val="16"/>
                <w:szCs w:val="16"/>
                <w:color w:val="auto"/>
              </w:rPr>
              <w:t>Wtd. Avg</w:t>
            </w: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gridSpan w:val="2"/>
          </w:tcPr>
          <w:p>
            <w:pPr>
              <w:jc w:val="center"/>
              <w:spacing w:after="0" w:line="174" w:lineRule="exact"/>
              <w:rPr>
                <w:sz w:val="20"/>
                <w:szCs w:val="20"/>
                <w:color w:val="auto"/>
              </w:rPr>
            </w:pPr>
            <w:r>
              <w:rPr>
                <w:rFonts w:ascii="Arial" w:cs="Arial" w:eastAsia="Arial" w:hAnsi="Arial"/>
                <w:sz w:val="16"/>
                <w:szCs w:val="16"/>
                <w:color w:val="auto"/>
              </w:rPr>
              <w:t>Wtd. Avg</w:t>
            </w:r>
          </w:p>
        </w:tc>
        <w:tc>
          <w:tcPr>
            <w:tcW w:w="60" w:type="dxa"/>
            <w:vAlign w:val="bottom"/>
          </w:tcPr>
          <w:p>
            <w:pPr>
              <w:spacing w:after="0"/>
              <w:rPr>
                <w:sz w:val="15"/>
                <w:szCs w:val="15"/>
                <w:color w:val="auto"/>
              </w:rPr>
            </w:pPr>
          </w:p>
        </w:tc>
      </w:tr>
      <w:tr>
        <w:trPr>
          <w:trHeight w:val="182"/>
        </w:trPr>
        <w:tc>
          <w:tcPr>
            <w:tcW w:w="2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440"/>
              <w:spacing w:after="0" w:line="182" w:lineRule="exact"/>
              <w:rPr>
                <w:sz w:val="20"/>
                <w:szCs w:val="20"/>
                <w:color w:val="auto"/>
              </w:rPr>
            </w:pPr>
            <w:r>
              <w:rPr>
                <w:rFonts w:ascii="Arial" w:cs="Arial" w:eastAsia="Arial" w:hAnsi="Arial"/>
                <w:sz w:val="16"/>
                <w:szCs w:val="16"/>
                <w:color w:val="auto"/>
                <w:w w:val="99"/>
              </w:rPr>
              <w:t>Grant</w:t>
            </w: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460"/>
              <w:spacing w:after="0" w:line="182" w:lineRule="exact"/>
              <w:rPr>
                <w:sz w:val="20"/>
                <w:szCs w:val="20"/>
                <w:color w:val="auto"/>
              </w:rPr>
            </w:pPr>
            <w:r>
              <w:rPr>
                <w:rFonts w:ascii="Arial" w:cs="Arial" w:eastAsia="Arial" w:hAnsi="Arial"/>
                <w:sz w:val="16"/>
                <w:szCs w:val="16"/>
                <w:color w:val="auto"/>
              </w:rPr>
              <w:t>Grant</w:t>
            </w: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tcPr>
          <w:p>
            <w:pPr>
              <w:jc w:val="center"/>
              <w:ind w:right="200"/>
              <w:spacing w:after="0" w:line="182" w:lineRule="exact"/>
              <w:rPr>
                <w:sz w:val="20"/>
                <w:szCs w:val="20"/>
                <w:color w:val="auto"/>
              </w:rPr>
            </w:pPr>
            <w:r>
              <w:rPr>
                <w:rFonts w:ascii="Arial" w:cs="Arial" w:eastAsia="Arial" w:hAnsi="Arial"/>
                <w:sz w:val="16"/>
                <w:szCs w:val="16"/>
                <w:color w:val="auto"/>
              </w:rPr>
              <w:t>Grant</w:t>
            </w:r>
          </w:p>
        </w:tc>
      </w:tr>
      <w:tr>
        <w:trPr>
          <w:trHeight w:val="182"/>
        </w:trPr>
        <w:tc>
          <w:tcPr>
            <w:tcW w:w="2600" w:type="dxa"/>
            <w:vAlign w:val="bottom"/>
          </w:tcPr>
          <w:p>
            <w:pPr>
              <w:spacing w:after="0"/>
              <w:rPr>
                <w:sz w:val="15"/>
                <w:szCs w:val="15"/>
                <w:color w:val="auto"/>
              </w:rPr>
            </w:pPr>
          </w:p>
        </w:tc>
        <w:tc>
          <w:tcPr>
            <w:tcW w:w="960" w:type="dxa"/>
            <w:vAlign w:val="bottom"/>
            <w:gridSpan w:val="2"/>
          </w:tcPr>
          <w:p>
            <w:pPr>
              <w:jc w:val="right"/>
              <w:ind w:right="380"/>
              <w:spacing w:after="0" w:line="182" w:lineRule="exact"/>
              <w:rPr>
                <w:sz w:val="20"/>
                <w:szCs w:val="20"/>
                <w:color w:val="auto"/>
              </w:rPr>
            </w:pPr>
            <w:r>
              <w:rPr>
                <w:rFonts w:ascii="Arial" w:cs="Arial" w:eastAsia="Arial" w:hAnsi="Arial"/>
                <w:sz w:val="16"/>
                <w:szCs w:val="16"/>
                <w:color w:val="auto"/>
              </w:rPr>
              <w:t>Shares</w:t>
            </w:r>
          </w:p>
        </w:tc>
        <w:tc>
          <w:tcPr>
            <w:tcW w:w="140" w:type="dxa"/>
            <w:vAlign w:val="bottom"/>
          </w:tcPr>
          <w:p>
            <w:pPr>
              <w:spacing w:after="0"/>
              <w:rPr>
                <w:sz w:val="15"/>
                <w:szCs w:val="15"/>
                <w:color w:val="auto"/>
              </w:rPr>
            </w:pPr>
          </w:p>
        </w:tc>
        <w:tc>
          <w:tcPr>
            <w:tcW w:w="920" w:type="dxa"/>
            <w:vAlign w:val="bottom"/>
            <w:gridSpan w:val="2"/>
          </w:tcPr>
          <w:p>
            <w:pPr>
              <w:jc w:val="center"/>
              <w:ind w:right="460"/>
              <w:spacing w:after="0" w:line="182" w:lineRule="exact"/>
              <w:rPr>
                <w:sz w:val="20"/>
                <w:szCs w:val="20"/>
                <w:color w:val="auto"/>
              </w:rPr>
            </w:pPr>
            <w:r>
              <w:rPr>
                <w:rFonts w:ascii="Arial" w:cs="Arial" w:eastAsia="Arial" w:hAnsi="Arial"/>
                <w:sz w:val="16"/>
                <w:szCs w:val="16"/>
                <w:color w:val="auto"/>
              </w:rPr>
              <w:t>Date</w:t>
            </w:r>
          </w:p>
        </w:tc>
        <w:tc>
          <w:tcPr>
            <w:tcW w:w="960" w:type="dxa"/>
            <w:vAlign w:val="bottom"/>
            <w:gridSpan w:val="2"/>
          </w:tcPr>
          <w:p>
            <w:pPr>
              <w:jc w:val="center"/>
              <w:ind w:right="320"/>
              <w:spacing w:after="0" w:line="182" w:lineRule="exact"/>
              <w:rPr>
                <w:sz w:val="20"/>
                <w:szCs w:val="20"/>
                <w:color w:val="auto"/>
              </w:rPr>
            </w:pPr>
            <w:r>
              <w:rPr>
                <w:rFonts w:ascii="Arial" w:cs="Arial" w:eastAsia="Arial" w:hAnsi="Arial"/>
                <w:sz w:val="16"/>
                <w:szCs w:val="16"/>
                <w:color w:val="auto"/>
              </w:rPr>
              <w:t>Shares</w:t>
            </w:r>
          </w:p>
        </w:tc>
        <w:tc>
          <w:tcPr>
            <w:tcW w:w="140" w:type="dxa"/>
            <w:vAlign w:val="bottom"/>
          </w:tcPr>
          <w:p>
            <w:pPr>
              <w:spacing w:after="0"/>
              <w:rPr>
                <w:sz w:val="15"/>
                <w:szCs w:val="15"/>
                <w:color w:val="auto"/>
              </w:rPr>
            </w:pPr>
          </w:p>
        </w:tc>
        <w:tc>
          <w:tcPr>
            <w:tcW w:w="920" w:type="dxa"/>
            <w:vAlign w:val="bottom"/>
            <w:gridSpan w:val="2"/>
          </w:tcPr>
          <w:p>
            <w:pPr>
              <w:jc w:val="center"/>
              <w:ind w:right="460"/>
              <w:spacing w:after="0" w:line="182" w:lineRule="exact"/>
              <w:rPr>
                <w:sz w:val="20"/>
                <w:szCs w:val="20"/>
                <w:color w:val="auto"/>
              </w:rPr>
            </w:pPr>
            <w:r>
              <w:rPr>
                <w:rFonts w:ascii="Arial" w:cs="Arial" w:eastAsia="Arial" w:hAnsi="Arial"/>
                <w:sz w:val="16"/>
                <w:szCs w:val="16"/>
                <w:color w:val="auto"/>
              </w:rPr>
              <w:t>Date</w:t>
            </w:r>
          </w:p>
        </w:tc>
        <w:tc>
          <w:tcPr>
            <w:tcW w:w="960" w:type="dxa"/>
            <w:vAlign w:val="bottom"/>
            <w:gridSpan w:val="2"/>
          </w:tcPr>
          <w:p>
            <w:pPr>
              <w:jc w:val="center"/>
              <w:ind w:right="320"/>
              <w:spacing w:after="0" w:line="182" w:lineRule="exact"/>
              <w:rPr>
                <w:sz w:val="20"/>
                <w:szCs w:val="20"/>
                <w:color w:val="auto"/>
              </w:rPr>
            </w:pPr>
            <w:r>
              <w:rPr>
                <w:rFonts w:ascii="Arial" w:cs="Arial" w:eastAsia="Arial" w:hAnsi="Arial"/>
                <w:sz w:val="16"/>
                <w:szCs w:val="16"/>
                <w:color w:val="auto"/>
              </w:rPr>
              <w:t>Shares</w:t>
            </w:r>
          </w:p>
        </w:tc>
        <w:tc>
          <w:tcPr>
            <w:tcW w:w="140" w:type="dxa"/>
            <w:vAlign w:val="bottom"/>
          </w:tcPr>
          <w:p>
            <w:pPr>
              <w:spacing w:after="0"/>
              <w:rPr>
                <w:sz w:val="15"/>
                <w:szCs w:val="15"/>
                <w:color w:val="auto"/>
              </w:rPr>
            </w:pPr>
          </w:p>
        </w:tc>
        <w:tc>
          <w:tcPr>
            <w:tcW w:w="660" w:type="dxa"/>
            <w:vAlign w:val="bottom"/>
            <w:gridSpan w:val="2"/>
          </w:tcPr>
          <w:p>
            <w:pPr>
              <w:jc w:val="center"/>
              <w:ind w:right="200"/>
              <w:spacing w:after="0" w:line="182" w:lineRule="exact"/>
              <w:rPr>
                <w:sz w:val="20"/>
                <w:szCs w:val="20"/>
                <w:color w:val="auto"/>
              </w:rPr>
            </w:pPr>
            <w:r>
              <w:rPr>
                <w:rFonts w:ascii="Arial" w:cs="Arial" w:eastAsia="Arial" w:hAnsi="Arial"/>
                <w:sz w:val="16"/>
                <w:szCs w:val="16"/>
                <w:color w:val="auto"/>
              </w:rPr>
              <w:t>Date</w:t>
            </w:r>
          </w:p>
        </w:tc>
      </w:tr>
      <w:tr>
        <w:trPr>
          <w:trHeight w:val="183"/>
        </w:trPr>
        <w:tc>
          <w:tcPr>
            <w:tcW w:w="2600" w:type="dxa"/>
            <w:vAlign w:val="bottom"/>
          </w:tcPr>
          <w:p>
            <w:pPr>
              <w:spacing w:after="0"/>
              <w:rPr>
                <w:sz w:val="15"/>
                <w:szCs w:val="15"/>
                <w:color w:val="auto"/>
              </w:rPr>
            </w:pPr>
          </w:p>
        </w:tc>
        <w:tc>
          <w:tcPr>
            <w:tcW w:w="660" w:type="dxa"/>
            <w:vAlign w:val="bottom"/>
          </w:tcPr>
          <w:p>
            <w:pPr>
              <w:jc w:val="right"/>
              <w:ind w:right="119"/>
              <w:spacing w:after="0"/>
              <w:rPr>
                <w:sz w:val="20"/>
                <w:szCs w:val="20"/>
                <w:color w:val="auto"/>
              </w:rPr>
            </w:pPr>
            <w:r>
              <w:rPr>
                <w:rFonts w:ascii="Arial" w:cs="Arial" w:eastAsia="Arial" w:hAnsi="Arial"/>
                <w:sz w:val="16"/>
                <w:szCs w:val="16"/>
                <w:color w:val="auto"/>
              </w:rPr>
              <w:t>000</w:t>
            </w:r>
          </w:p>
        </w:tc>
        <w:tc>
          <w:tcPr>
            <w:tcW w:w="300" w:type="dxa"/>
            <w:vAlign w:val="bottom"/>
          </w:tcPr>
          <w:p>
            <w:pPr>
              <w:spacing w:after="0"/>
              <w:rPr>
                <w:sz w:val="15"/>
                <w:szCs w:val="15"/>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6"/>
                <w:szCs w:val="16"/>
                <w:color w:val="auto"/>
                <w:w w:val="98"/>
              </w:rPr>
              <w:t>Fair Value</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000</w:t>
            </w:r>
          </w:p>
        </w:tc>
        <w:tc>
          <w:tcPr>
            <w:tcW w:w="320" w:type="dxa"/>
            <w:vAlign w:val="bottom"/>
          </w:tcPr>
          <w:p>
            <w:pPr>
              <w:spacing w:after="0"/>
              <w:rPr>
                <w:sz w:val="15"/>
                <w:szCs w:val="15"/>
                <w:color w:val="auto"/>
              </w:rPr>
            </w:pPr>
          </w:p>
        </w:tc>
        <w:tc>
          <w:tcPr>
            <w:tcW w:w="1060" w:type="dxa"/>
            <w:vAlign w:val="bottom"/>
            <w:gridSpan w:val="3"/>
          </w:tcPr>
          <w:p>
            <w:pPr>
              <w:jc w:val="right"/>
              <w:ind w:right="320"/>
              <w:spacing w:after="0"/>
              <w:rPr>
                <w:sz w:val="20"/>
                <w:szCs w:val="20"/>
                <w:color w:val="auto"/>
              </w:rPr>
            </w:pPr>
            <w:r>
              <w:rPr>
                <w:rFonts w:ascii="Arial" w:cs="Arial" w:eastAsia="Arial" w:hAnsi="Arial"/>
                <w:sz w:val="16"/>
                <w:szCs w:val="16"/>
                <w:color w:val="auto"/>
                <w:w w:val="98"/>
              </w:rPr>
              <w:t>Fair Value</w:t>
            </w:r>
          </w:p>
        </w:tc>
        <w:tc>
          <w:tcPr>
            <w:tcW w:w="640" w:type="dxa"/>
            <w:vAlign w:val="bottom"/>
          </w:tcPr>
          <w:p>
            <w:pPr>
              <w:jc w:val="right"/>
              <w:ind w:right="99"/>
              <w:spacing w:after="0"/>
              <w:rPr>
                <w:sz w:val="20"/>
                <w:szCs w:val="20"/>
                <w:color w:val="auto"/>
              </w:rPr>
            </w:pPr>
            <w:r>
              <w:rPr>
                <w:rFonts w:ascii="Arial" w:cs="Arial" w:eastAsia="Arial" w:hAnsi="Arial"/>
                <w:sz w:val="16"/>
                <w:szCs w:val="16"/>
                <w:color w:val="auto"/>
              </w:rPr>
              <w:t>000</w:t>
            </w:r>
          </w:p>
        </w:tc>
        <w:tc>
          <w:tcPr>
            <w:tcW w:w="320" w:type="dxa"/>
            <w:vAlign w:val="bottom"/>
          </w:tcPr>
          <w:p>
            <w:pPr>
              <w:spacing w:after="0"/>
              <w:rPr>
                <w:sz w:val="15"/>
                <w:szCs w:val="15"/>
                <w:color w:val="auto"/>
              </w:rPr>
            </w:pPr>
          </w:p>
        </w:tc>
        <w:tc>
          <w:tcPr>
            <w:tcW w:w="800" w:type="dxa"/>
            <w:vAlign w:val="bottom"/>
            <w:gridSpan w:val="3"/>
          </w:tcPr>
          <w:p>
            <w:pPr>
              <w:jc w:val="right"/>
              <w:ind w:right="60"/>
              <w:spacing w:after="0"/>
              <w:rPr>
                <w:sz w:val="20"/>
                <w:szCs w:val="20"/>
                <w:color w:val="auto"/>
              </w:rPr>
            </w:pPr>
            <w:r>
              <w:rPr>
                <w:rFonts w:ascii="Arial" w:cs="Arial" w:eastAsia="Arial" w:hAnsi="Arial"/>
                <w:sz w:val="16"/>
                <w:szCs w:val="16"/>
                <w:color w:val="auto"/>
                <w:w w:val="98"/>
              </w:rPr>
              <w:t>Fair Value</w:t>
            </w:r>
          </w:p>
        </w:tc>
      </w:tr>
      <w:tr>
        <w:trPr>
          <w:trHeight w:val="174"/>
        </w:trPr>
        <w:tc>
          <w:tcPr>
            <w:tcW w:w="2600" w:type="dxa"/>
            <w:vAlign w:val="bottom"/>
            <w:shd w:val="clear" w:color="auto" w:fill="CCEEFF"/>
          </w:tcPr>
          <w:p>
            <w:pPr>
              <w:ind w:left="20"/>
              <w:spacing w:after="0" w:line="174" w:lineRule="exact"/>
              <w:rPr>
                <w:sz w:val="20"/>
                <w:szCs w:val="20"/>
                <w:color w:val="auto"/>
              </w:rPr>
            </w:pPr>
            <w:r>
              <w:rPr>
                <w:rFonts w:ascii="Arial" w:cs="Arial" w:eastAsia="Arial" w:hAnsi="Arial"/>
                <w:sz w:val="16"/>
                <w:szCs w:val="16"/>
                <w:color w:val="auto"/>
              </w:rPr>
              <w:t>Nonvested stock options at</w:t>
            </w:r>
          </w:p>
        </w:tc>
        <w:tc>
          <w:tcPr>
            <w:tcW w:w="66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3"/>
        </w:trPr>
        <w:tc>
          <w:tcPr>
            <w:tcW w:w="2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Beginning of Year</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w:t>
            </w:r>
          </w:p>
        </w:tc>
      </w:tr>
      <w:tr>
        <w:trPr>
          <w:trHeight w:val="182"/>
        </w:trPr>
        <w:tc>
          <w:tcPr>
            <w:tcW w:w="2600" w:type="dxa"/>
            <w:vAlign w:val="bottom"/>
          </w:tcPr>
          <w:p>
            <w:pPr>
              <w:ind w:left="20"/>
              <w:spacing w:after="0" w:line="182" w:lineRule="exact"/>
              <w:rPr>
                <w:sz w:val="20"/>
                <w:szCs w:val="20"/>
                <w:color w:val="auto"/>
              </w:rPr>
            </w:pPr>
            <w:r>
              <w:rPr>
                <w:rFonts w:ascii="Arial" w:cs="Arial" w:eastAsia="Arial" w:hAnsi="Arial"/>
                <w:sz w:val="16"/>
                <w:szCs w:val="16"/>
                <w:color w:val="auto"/>
              </w:rPr>
              <w:t>Granted</w:t>
            </w:r>
          </w:p>
        </w:tc>
        <w:tc>
          <w:tcPr>
            <w:tcW w:w="96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48</w:t>
            </w:r>
          </w:p>
        </w:tc>
        <w:tc>
          <w:tcPr>
            <w:tcW w:w="140" w:type="dxa"/>
            <w:vAlign w:val="bottom"/>
          </w:tcPr>
          <w:p>
            <w:pPr>
              <w:spacing w:after="0"/>
              <w:rPr>
                <w:sz w:val="15"/>
                <w:szCs w:val="15"/>
                <w:color w:val="auto"/>
              </w:rPr>
            </w:pPr>
          </w:p>
        </w:tc>
        <w:tc>
          <w:tcPr>
            <w:tcW w:w="92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4</w:t>
            </w:r>
          </w:p>
        </w:tc>
        <w:tc>
          <w:tcPr>
            <w:tcW w:w="96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48</w:t>
            </w:r>
          </w:p>
        </w:tc>
        <w:tc>
          <w:tcPr>
            <w:tcW w:w="140" w:type="dxa"/>
            <w:vAlign w:val="bottom"/>
          </w:tcPr>
          <w:p>
            <w:pPr>
              <w:spacing w:after="0"/>
              <w:rPr>
                <w:sz w:val="15"/>
                <w:szCs w:val="15"/>
                <w:color w:val="auto"/>
              </w:rPr>
            </w:pPr>
          </w:p>
        </w:tc>
        <w:tc>
          <w:tcPr>
            <w:tcW w:w="92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6</w:t>
            </w:r>
          </w:p>
        </w:tc>
        <w:tc>
          <w:tcPr>
            <w:tcW w:w="96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48</w:t>
            </w:r>
          </w:p>
        </w:tc>
        <w:tc>
          <w:tcPr>
            <w:tcW w:w="140" w:type="dxa"/>
            <w:vAlign w:val="bottom"/>
          </w:tcPr>
          <w:p>
            <w:pPr>
              <w:spacing w:after="0"/>
              <w:rPr>
                <w:sz w:val="15"/>
                <w:szCs w:val="15"/>
                <w:color w:val="auto"/>
              </w:rPr>
            </w:pPr>
          </w:p>
        </w:tc>
        <w:tc>
          <w:tcPr>
            <w:tcW w:w="66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6</w:t>
            </w:r>
          </w:p>
        </w:tc>
      </w:tr>
      <w:tr>
        <w:trPr>
          <w:trHeight w:val="182"/>
        </w:trPr>
        <w:tc>
          <w:tcPr>
            <w:tcW w:w="26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Vested</w:t>
            </w:r>
          </w:p>
        </w:tc>
        <w:tc>
          <w:tcPr>
            <w:tcW w:w="96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(48)</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4</w:t>
            </w:r>
          </w:p>
        </w:tc>
        <w:tc>
          <w:tcPr>
            <w:tcW w:w="96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(48)</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6</w:t>
            </w:r>
          </w:p>
        </w:tc>
        <w:tc>
          <w:tcPr>
            <w:tcW w:w="96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(48)</w:t>
            </w:r>
          </w:p>
        </w:tc>
        <w:tc>
          <w:tcPr>
            <w:tcW w:w="14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6</w:t>
            </w:r>
          </w:p>
        </w:tc>
      </w:tr>
      <w:tr>
        <w:trPr>
          <w:trHeight w:val="187"/>
        </w:trPr>
        <w:tc>
          <w:tcPr>
            <w:tcW w:w="2600" w:type="dxa"/>
            <w:vAlign w:val="bottom"/>
          </w:tcPr>
          <w:p>
            <w:pPr>
              <w:ind w:left="20"/>
              <w:spacing w:after="0" w:line="182" w:lineRule="exact"/>
              <w:rPr>
                <w:sz w:val="20"/>
                <w:szCs w:val="20"/>
                <w:color w:val="auto"/>
              </w:rPr>
            </w:pPr>
            <w:r>
              <w:rPr>
                <w:rFonts w:ascii="Arial" w:cs="Arial" w:eastAsia="Arial" w:hAnsi="Arial"/>
                <w:sz w:val="16"/>
                <w:szCs w:val="16"/>
                <w:color w:val="auto"/>
              </w:rPr>
              <w:t>Forfeited</w:t>
            </w:r>
          </w:p>
        </w:tc>
        <w:tc>
          <w:tcPr>
            <w:tcW w:w="96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0</w:t>
            </w:r>
          </w:p>
        </w:tc>
        <w:tc>
          <w:tcPr>
            <w:tcW w:w="140" w:type="dxa"/>
            <w:vAlign w:val="bottom"/>
          </w:tcPr>
          <w:p>
            <w:pPr>
              <w:spacing w:after="0"/>
              <w:rPr>
                <w:sz w:val="16"/>
                <w:szCs w:val="16"/>
                <w:color w:val="auto"/>
              </w:rPr>
            </w:pPr>
          </w:p>
        </w:tc>
        <w:tc>
          <w:tcPr>
            <w:tcW w:w="92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0</w:t>
            </w:r>
          </w:p>
        </w:tc>
        <w:tc>
          <w:tcPr>
            <w:tcW w:w="96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0</w:t>
            </w:r>
          </w:p>
        </w:tc>
        <w:tc>
          <w:tcPr>
            <w:tcW w:w="140" w:type="dxa"/>
            <w:vAlign w:val="bottom"/>
          </w:tcPr>
          <w:p>
            <w:pPr>
              <w:spacing w:after="0"/>
              <w:rPr>
                <w:sz w:val="16"/>
                <w:szCs w:val="16"/>
                <w:color w:val="auto"/>
              </w:rPr>
            </w:pPr>
          </w:p>
        </w:tc>
        <w:tc>
          <w:tcPr>
            <w:tcW w:w="92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0</w:t>
            </w:r>
          </w:p>
        </w:tc>
        <w:tc>
          <w:tcPr>
            <w:tcW w:w="96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0</w:t>
            </w:r>
          </w:p>
        </w:tc>
        <w:tc>
          <w:tcPr>
            <w:tcW w:w="140" w:type="dxa"/>
            <w:vAlign w:val="bottom"/>
          </w:tcPr>
          <w:p>
            <w:pPr>
              <w:spacing w:after="0"/>
              <w:rPr>
                <w:sz w:val="16"/>
                <w:szCs w:val="16"/>
                <w:color w:val="auto"/>
              </w:rPr>
            </w:pPr>
          </w:p>
        </w:tc>
        <w:tc>
          <w:tcPr>
            <w:tcW w:w="66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0</w:t>
            </w:r>
          </w:p>
        </w:tc>
      </w:tr>
      <w:tr>
        <w:trPr>
          <w:trHeight w:val="181"/>
        </w:trPr>
        <w:tc>
          <w:tcPr>
            <w:tcW w:w="2600" w:type="dxa"/>
            <w:vAlign w:val="bottom"/>
            <w:shd w:val="clear" w:color="auto" w:fill="CCEEFF"/>
          </w:tcPr>
          <w:p>
            <w:pPr>
              <w:ind w:left="20"/>
              <w:spacing w:after="0" w:line="181" w:lineRule="exact"/>
              <w:rPr>
                <w:sz w:val="20"/>
                <w:szCs w:val="20"/>
                <w:color w:val="auto"/>
              </w:rPr>
            </w:pPr>
            <w:r>
              <w:rPr>
                <w:rFonts w:ascii="Arial" w:cs="Arial" w:eastAsia="Arial" w:hAnsi="Arial"/>
                <w:sz w:val="16"/>
                <w:szCs w:val="16"/>
                <w:color w:val="auto"/>
              </w:rPr>
              <w:t>Nonvested stock options at End</w:t>
            </w:r>
          </w:p>
        </w:tc>
        <w:tc>
          <w:tcPr>
            <w:tcW w:w="66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3"/>
        </w:trPr>
        <w:tc>
          <w:tcPr>
            <w:tcW w:w="2600" w:type="dxa"/>
            <w:vAlign w:val="bottom"/>
            <w:shd w:val="clear" w:color="auto" w:fill="CCEEFF"/>
          </w:tcPr>
          <w:p>
            <w:pPr>
              <w:ind w:left="200"/>
              <w:spacing w:after="0"/>
              <w:rPr>
                <w:sz w:val="20"/>
                <w:szCs w:val="20"/>
                <w:color w:val="auto"/>
              </w:rPr>
            </w:pPr>
            <w:r>
              <w:rPr>
                <w:rFonts w:ascii="Arial" w:cs="Arial" w:eastAsia="Arial" w:hAnsi="Arial"/>
                <w:sz w:val="16"/>
                <w:szCs w:val="16"/>
                <w:color w:val="auto"/>
              </w:rPr>
              <w:t>of Year</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w:t>
            </w: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0</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w:t>
            </w:r>
          </w:p>
        </w:tc>
      </w:tr>
    </w:tbl>
    <w:p>
      <w:pPr>
        <w:spacing w:after="0" w:line="157" w:lineRule="exact"/>
        <w:rPr>
          <w:sz w:val="20"/>
          <w:szCs w:val="20"/>
          <w:color w:val="auto"/>
        </w:rPr>
      </w:pPr>
    </w:p>
    <w:p>
      <w:pPr>
        <w:ind w:left="620"/>
        <w:spacing w:after="0"/>
        <w:rPr>
          <w:sz w:val="20"/>
          <w:szCs w:val="20"/>
          <w:color w:val="auto"/>
        </w:rPr>
      </w:pPr>
      <w:r>
        <w:rPr>
          <w:rFonts w:ascii="Arial" w:cs="Arial" w:eastAsia="Arial" w:hAnsi="Arial"/>
          <w:sz w:val="16"/>
          <w:szCs w:val="16"/>
          <w:u w:val="single" w:color="auto"/>
          <w:color w:val="auto"/>
        </w:rPr>
        <w:t>Employee Stock Purchase Plan</w:t>
      </w:r>
    </w:p>
    <w:p>
      <w:pPr>
        <w:spacing w:after="0" w:line="168" w:lineRule="exact"/>
        <w:rPr>
          <w:sz w:val="20"/>
          <w:szCs w:val="20"/>
          <w:color w:val="auto"/>
        </w:rPr>
      </w:pPr>
    </w:p>
    <w:p>
      <w:pPr>
        <w:ind w:left="620" w:right="1599"/>
        <w:spacing w:after="0" w:line="241" w:lineRule="auto"/>
        <w:rPr>
          <w:sz w:val="20"/>
          <w:szCs w:val="20"/>
          <w:color w:val="auto"/>
        </w:rPr>
      </w:pPr>
      <w:r>
        <w:rPr>
          <w:rFonts w:ascii="Arial" w:cs="Arial" w:eastAsia="Arial" w:hAnsi="Arial"/>
          <w:sz w:val="16"/>
          <w:szCs w:val="16"/>
          <w:color w:val="auto"/>
        </w:rPr>
        <w:t>In 2003, a new Employee Stock Purchase Plan covering 1,200,000 shares was approved by the shareholders, replacing a prior plan. The Company has sold to employees 121,346 shares, 141,018 shares and 111,558 shares under the new plan in 2009, 2008, and 2007, respectively, and has sold a total of 815,049 shares under the new plan through December 31, 2009. The Company sells shares at 85% of the stock’s market price at date of purchase. The weighted average fair value of shares sold in 2009 was approximately $11.16.</w:t>
      </w:r>
    </w:p>
    <w:p>
      <w:pPr>
        <w:spacing w:after="0" w:line="200" w:lineRule="exact"/>
        <w:rPr>
          <w:sz w:val="20"/>
          <w:szCs w:val="20"/>
          <w:color w:val="auto"/>
        </w:rPr>
      </w:pPr>
    </w:p>
    <w:p>
      <w:pPr>
        <w:spacing w:after="0" w:line="286"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1259"/>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17" w:lineRule="exact"/>
        <w:rPr>
          <w:sz w:val="20"/>
          <w:szCs w:val="20"/>
          <w:color w:val="auto"/>
        </w:rPr>
      </w:pPr>
    </w:p>
    <w:p>
      <w:pPr>
        <w:jc w:val="center"/>
        <w:ind w:right="1259"/>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jc w:val="center"/>
        <w:ind w:right="1259"/>
        <w:spacing w:after="0"/>
        <w:rPr>
          <w:sz w:val="20"/>
          <w:szCs w:val="20"/>
          <w:color w:val="auto"/>
        </w:rPr>
      </w:pPr>
      <w:r>
        <w:rPr>
          <w:rFonts w:ascii="Arial" w:cs="Arial" w:eastAsia="Arial" w:hAnsi="Arial"/>
          <w:sz w:val="16"/>
          <w:szCs w:val="16"/>
          <w:b w:val="1"/>
          <w:bCs w:val="1"/>
          <w:color w:val="auto"/>
        </w:rPr>
        <w:t>(Continued)</w:t>
      </w:r>
    </w:p>
    <w:p>
      <w:pPr>
        <w:spacing w:after="0" w:line="168" w:lineRule="exact"/>
        <w:rPr>
          <w:sz w:val="20"/>
          <w:szCs w:val="20"/>
          <w:color w:val="auto"/>
        </w:rPr>
      </w:pPr>
    </w:p>
    <w:p>
      <w:pPr>
        <w:ind w:left="620" w:right="5739" w:hanging="331"/>
        <w:spacing w:after="0" w:line="443" w:lineRule="auto"/>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STOCK-BASED COMPENSATION PLANS, continued </w:t>
      </w:r>
      <w:r>
        <w:rPr>
          <w:rFonts w:ascii="Arial" w:cs="Arial" w:eastAsia="Arial" w:hAnsi="Arial"/>
          <w:sz w:val="16"/>
          <w:szCs w:val="16"/>
          <w:u w:val="single" w:color="auto"/>
          <w:color w:val="auto"/>
        </w:rPr>
        <w:t>Restricted Stock Plan</w:t>
      </w:r>
    </w:p>
    <w:p>
      <w:pPr>
        <w:spacing w:after="0" w:line="1" w:lineRule="exact"/>
        <w:rPr>
          <w:rFonts w:ascii="Arial" w:cs="Arial" w:eastAsia="Arial" w:hAnsi="Arial"/>
          <w:sz w:val="16"/>
          <w:szCs w:val="16"/>
          <w:color w:val="auto"/>
        </w:rPr>
      </w:pPr>
    </w:p>
    <w:p>
      <w:pPr>
        <w:ind w:left="620" w:right="1579"/>
        <w:spacing w:after="0" w:line="238" w:lineRule="auto"/>
        <w:rPr>
          <w:rFonts w:ascii="Arial" w:cs="Arial" w:eastAsia="Arial" w:hAnsi="Arial"/>
          <w:sz w:val="16"/>
          <w:szCs w:val="16"/>
          <w:color w:val="auto"/>
        </w:rPr>
      </w:pPr>
      <w:r>
        <w:rPr>
          <w:rFonts w:ascii="Arial" w:cs="Arial" w:eastAsia="Arial" w:hAnsi="Arial"/>
          <w:sz w:val="16"/>
          <w:szCs w:val="16"/>
          <w:color w:val="auto"/>
        </w:rPr>
        <w:t>In 2008, an amendment to the Company’s Second Restricted Stock Plan was approved by shareholders. The Plan amendment increased the maximum number of shares that may be subject to awards to 2,000,000 shares and to extend the Plan’s termination date to February 21, 2018. The purpose of which is to permit grants of shares, subject to restrictions, to key employees of the Company as a means of retaining and rewarding them for long-term performance and to increase their ownership in the Company. Shares awarded under the plan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The Company has 596,790 shares outstanding under the plan as of December 31, 2009. During 2009, 2008, and 2007, 186,080, 99,290 and 107,200 shares, respectively, were granted with a restriction period of five years at market prices ranging from $9.96 to $18.03 in 2009, $8.30 to $17.00 in 2008, and $16.25 to $19.69 in 2007, and has unearned stock-based compensation of $5,032,309 associated with these restricted stock grants. The unearned stock-based compensation related to these grants is being amortized to compensation expense over the applicable restriction periods. Amortization of restricted stock for 2009 was $1,655,797.</w:t>
      </w:r>
    </w:p>
    <w:p>
      <w:pPr>
        <w:spacing w:after="0" w:line="167" w:lineRule="exact"/>
        <w:rPr>
          <w:rFonts w:ascii="Arial" w:cs="Arial" w:eastAsia="Arial" w:hAnsi="Arial"/>
          <w:sz w:val="16"/>
          <w:szCs w:val="16"/>
          <w:color w:val="auto"/>
        </w:rPr>
      </w:pPr>
    </w:p>
    <w:p>
      <w:pPr>
        <w:ind w:left="600" w:hanging="311"/>
        <w:spacing w:after="0"/>
        <w:tabs>
          <w:tab w:leader="none" w:pos="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CONTINGENCIES</w:t>
      </w:r>
    </w:p>
    <w:p>
      <w:pPr>
        <w:spacing w:after="0" w:line="156" w:lineRule="exact"/>
        <w:rPr>
          <w:rFonts w:ascii="Arial" w:cs="Arial" w:eastAsia="Arial" w:hAnsi="Arial"/>
          <w:sz w:val="16"/>
          <w:szCs w:val="16"/>
          <w:color w:val="auto"/>
        </w:rPr>
      </w:pPr>
    </w:p>
    <w:p>
      <w:pPr>
        <w:ind w:left="620" w:right="1539"/>
        <w:spacing w:after="0" w:line="237" w:lineRule="auto"/>
        <w:rPr>
          <w:rFonts w:ascii="Arial" w:cs="Arial" w:eastAsia="Arial" w:hAnsi="Arial"/>
          <w:sz w:val="16"/>
          <w:szCs w:val="16"/>
          <w:color w:val="auto"/>
        </w:rPr>
      </w:pPr>
      <w:r>
        <w:rPr>
          <w:rFonts w:ascii="Arial" w:cs="Arial" w:eastAsia="Arial" w:hAnsi="Arial"/>
          <w:sz w:val="16"/>
          <w:szCs w:val="16"/>
          <w:color w:val="auto"/>
        </w:rPr>
        <w:t>The Company was involved in litigation with K.W. Muth and Muth Mirror Systems LLC (“Muth”) relating to exterior mirrors with turn signal indicators. The turn signal feature in exterior mirrors represented approximately one percent of our revenues, and the litigation did not involve core Gentex electrochromic technology. The trial in Wisconsin related to this case occurred during July 2007 and the court issued its written ruling in</w:t>
      </w:r>
    </w:p>
    <w:p>
      <w:pPr>
        <w:spacing w:after="0" w:line="2" w:lineRule="exact"/>
        <w:rPr>
          <w:rFonts w:ascii="Arial" w:cs="Arial" w:eastAsia="Arial" w:hAnsi="Arial"/>
          <w:sz w:val="16"/>
          <w:szCs w:val="16"/>
          <w:color w:val="auto"/>
        </w:rPr>
      </w:pPr>
    </w:p>
    <w:p>
      <w:pPr>
        <w:ind w:left="620" w:right="1539"/>
        <w:spacing w:after="0"/>
        <w:rPr>
          <w:rFonts w:ascii="Arial" w:cs="Arial" w:eastAsia="Arial" w:hAnsi="Arial"/>
          <w:sz w:val="16"/>
          <w:szCs w:val="16"/>
          <w:color w:val="auto"/>
        </w:rPr>
      </w:pPr>
      <w:r>
        <w:rPr>
          <w:rFonts w:ascii="Arial" w:cs="Arial" w:eastAsia="Arial" w:hAnsi="Arial"/>
          <w:sz w:val="16"/>
          <w:szCs w:val="16"/>
          <w:color w:val="auto"/>
        </w:rPr>
        <w:t>December 2007. The Court found that Muth’s U.S. Patent No. 6,005,724 is invalid and unenforceable, and that Gentex’s Razor™ Turn Signal Mirror does not infringe that patent. The Court also denied all but one of Muth’s other motions with prejudice, including its motion for an injunction, and its claims for tortuous interference with its business relationships. The sole point of liability for Gentex was that the Court found that Gentex breached one provision of the alliance agreement it had with Muth, and entered a judgment against Gentex, on January 24, 2008, granting Muth damages in the amount of $2,885,329, which was accrued by the Company as of December 31, 2007. On February 15, 2008, the Company entered into a Settlement And Release And Covenants Not To Sue (“Agreement”) with Muth whereby the parties agreed to settle the Court’s judgment against the Company for damages at a reduced amount of $2,550,000. In addition, under the Agreement the parties each agreed to: grant the other party a ten-year covenant not to sue for each Company’s core business, to release each other from all claims that occurred in the past, and not appeal the Court’s rulings. The Agreement was approved by the Bankruptcy Court on February 29, 2008. The adjustment to the original judgment for damages is reflected in our 2008 financial results as a reduction to engineering, research and development expenses.</w:t>
      </w:r>
    </w:p>
    <w:p>
      <w:pPr>
        <w:spacing w:after="0" w:line="317" w:lineRule="exact"/>
        <w:rPr>
          <w:rFonts w:ascii="Arial" w:cs="Arial" w:eastAsia="Arial" w:hAnsi="Arial"/>
          <w:sz w:val="16"/>
          <w:szCs w:val="16"/>
          <w:color w:val="auto"/>
        </w:rPr>
      </w:pPr>
    </w:p>
    <w:p>
      <w:pPr>
        <w:ind w:left="620" w:right="1799"/>
        <w:spacing w:after="0"/>
        <w:rPr>
          <w:rFonts w:ascii="Arial" w:cs="Arial" w:eastAsia="Arial" w:hAnsi="Arial"/>
          <w:sz w:val="16"/>
          <w:szCs w:val="16"/>
          <w:color w:val="auto"/>
        </w:rPr>
      </w:pPr>
      <w:r>
        <w:rPr>
          <w:rFonts w:ascii="Arial" w:cs="Arial" w:eastAsia="Arial" w:hAnsi="Arial"/>
          <w:sz w:val="16"/>
          <w:szCs w:val="16"/>
          <w:color w:val="auto"/>
        </w:rPr>
        <w:t>In addition, 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any of these matters constitute material pending legal proceedings that will have a material adverse effect on the financial position or future results of operations of the Company.</w:t>
      </w:r>
    </w:p>
    <w:p>
      <w:pPr>
        <w:spacing w:after="0" w:line="200" w:lineRule="exact"/>
        <w:rPr>
          <w:rFonts w:ascii="Arial" w:cs="Arial" w:eastAsia="Arial" w:hAnsi="Arial"/>
          <w:sz w:val="16"/>
          <w:szCs w:val="16"/>
          <w:color w:val="auto"/>
        </w:rPr>
      </w:pPr>
    </w:p>
    <w:p>
      <w:pPr>
        <w:spacing w:after="0" w:line="299" w:lineRule="exact"/>
        <w:rPr>
          <w:rFonts w:ascii="Arial" w:cs="Arial" w:eastAsia="Arial" w:hAnsi="Arial"/>
          <w:sz w:val="16"/>
          <w:szCs w:val="16"/>
          <w:color w:val="auto"/>
        </w:rPr>
      </w:pPr>
    </w:p>
    <w:p>
      <w:pPr>
        <w:ind w:left="4400" w:hanging="101"/>
        <w:spacing w:after="0"/>
        <w:tabs>
          <w:tab w:leader="none" w:pos="44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52" w:name="page53"/>
    <w:bookmarkEnd w:id="52"/>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17"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jc w:val="center"/>
        <w:ind w:right="1239"/>
        <w:spacing w:after="0"/>
        <w:rPr>
          <w:sz w:val="20"/>
          <w:szCs w:val="20"/>
          <w:color w:val="auto"/>
        </w:rPr>
      </w:pPr>
      <w:r>
        <w:rPr>
          <w:rFonts w:ascii="Arial" w:cs="Arial" w:eastAsia="Arial" w:hAnsi="Arial"/>
          <w:sz w:val="16"/>
          <w:szCs w:val="16"/>
          <w:b w:val="1"/>
          <w:bCs w:val="1"/>
          <w:color w:val="auto"/>
        </w:rPr>
        <w:t>(Continued)</w:t>
      </w:r>
    </w:p>
    <w:p>
      <w:pPr>
        <w:spacing w:after="0" w:line="168" w:lineRule="exact"/>
        <w:rPr>
          <w:sz w:val="20"/>
          <w:szCs w:val="20"/>
          <w:color w:val="auto"/>
        </w:rPr>
      </w:pPr>
    </w:p>
    <w:p>
      <w:pPr>
        <w:ind w:left="600" w:hanging="311"/>
        <w:spacing w:after="0"/>
        <w:tabs>
          <w:tab w:leader="none" w:pos="6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SEGMENT REPORTING</w:t>
      </w:r>
    </w:p>
    <w:p>
      <w:pPr>
        <w:spacing w:after="0" w:line="140" w:lineRule="exact"/>
        <w:rPr>
          <w:rFonts w:ascii="Arial" w:cs="Arial" w:eastAsia="Arial" w:hAnsi="Arial"/>
          <w:sz w:val="16"/>
          <w:szCs w:val="16"/>
          <w:color w:val="auto"/>
        </w:rPr>
      </w:pPr>
    </w:p>
    <w:p>
      <w:pPr>
        <w:ind w:left="620" w:right="1599"/>
        <w:spacing w:after="0" w:line="246" w:lineRule="auto"/>
        <w:rPr>
          <w:rFonts w:ascii="Arial" w:cs="Arial" w:eastAsia="Arial" w:hAnsi="Arial"/>
          <w:sz w:val="16"/>
          <w:szCs w:val="16"/>
          <w:color w:val="auto"/>
        </w:rPr>
      </w:pPr>
      <w:r>
        <w:rPr>
          <w:rFonts w:ascii="Arial" w:cs="Arial" w:eastAsia="Arial" w:hAnsi="Arial"/>
          <w:sz w:val="16"/>
          <w:szCs w:val="16"/>
          <w:color w:val="auto"/>
        </w:rPr>
        <w:t xml:space="preserve">ASC 280, </w:t>
      </w:r>
      <w:r>
        <w:rPr>
          <w:rFonts w:ascii="Arial" w:cs="Arial" w:eastAsia="Arial" w:hAnsi="Arial"/>
          <w:sz w:val="16"/>
          <w:szCs w:val="16"/>
          <w:i w:val="1"/>
          <w:iCs w:val="1"/>
          <w:color w:val="auto"/>
        </w:rPr>
        <w:t>“Disclosures About Segments of an Enterprise and Related Information,”</w:t>
      </w:r>
      <w:r>
        <w:rPr>
          <w:rFonts w:ascii="Arial" w:cs="Arial" w:eastAsia="Arial" w:hAnsi="Arial"/>
          <w:sz w:val="16"/>
          <w:szCs w:val="16"/>
          <w:color w:val="auto"/>
        </w:rPr>
        <w:t xml:space="preserve"> requires that a public enterprise report financial and descriptive information about its reportable operating segments subject to certain aggregation criteria and quantitative thresholds. Operating segments are defined by ASC 280 as components of an enterprise about which separate financial information is available that is evaluated regularly by the chief operating decision-makers in deciding how to allocate resources and in assessing performance.</w:t>
      </w:r>
    </w:p>
    <w:p>
      <w:pPr>
        <w:spacing w:after="0" w:line="166"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2009</w:t>
            </w:r>
          </w:p>
        </w:tc>
        <w:tc>
          <w:tcPr>
            <w:tcW w:w="3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2008</w:t>
            </w:r>
          </w:p>
        </w:tc>
        <w:tc>
          <w:tcPr>
            <w:tcW w:w="3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2007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4700" w:type="dxa"/>
            <w:vAlign w:val="bottom"/>
            <w:shd w:val="clear" w:color="auto" w:fill="CCEEFF"/>
          </w:tcPr>
          <w:p>
            <w:pPr>
              <w:ind w:left="20"/>
              <w:spacing w:after="0" w:line="175" w:lineRule="exact"/>
              <w:rPr>
                <w:sz w:val="20"/>
                <w:szCs w:val="20"/>
                <w:color w:val="auto"/>
              </w:rPr>
            </w:pPr>
            <w:r>
              <w:rPr>
                <w:rFonts w:ascii="Arial" w:cs="Arial" w:eastAsia="Arial" w:hAnsi="Arial"/>
                <w:sz w:val="16"/>
                <w:szCs w:val="16"/>
                <w:color w:val="auto"/>
              </w:rPr>
              <w:t>Revenue:</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00" w:type="dxa"/>
            <w:vAlign w:val="bottom"/>
          </w:tcPr>
          <w:p>
            <w:pPr>
              <w:ind w:left="200"/>
              <w:spacing w:after="0" w:line="182" w:lineRule="exact"/>
              <w:rPr>
                <w:sz w:val="20"/>
                <w:szCs w:val="20"/>
                <w:color w:val="auto"/>
              </w:rPr>
            </w:pPr>
            <w:r>
              <w:rPr>
                <w:rFonts w:ascii="Arial" w:cs="Arial" w:eastAsia="Arial" w:hAnsi="Arial"/>
                <w:sz w:val="16"/>
                <w:szCs w:val="16"/>
                <w:color w:val="auto"/>
              </w:rPr>
              <w:t>Automotive Products</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380"/>
              <w:spacing w:after="0" w:line="182" w:lineRule="exact"/>
              <w:rPr>
                <w:sz w:val="20"/>
                <w:szCs w:val="20"/>
                <w:color w:val="auto"/>
              </w:rPr>
            </w:pPr>
            <w:r>
              <w:rPr>
                <w:rFonts w:ascii="Arial" w:cs="Arial" w:eastAsia="Arial" w:hAnsi="Arial"/>
                <w:sz w:val="16"/>
                <w:szCs w:val="16"/>
                <w:color w:val="auto"/>
              </w:rPr>
              <w:t>United States</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w w:val="98"/>
              </w:rPr>
              <w:t>173,459,790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w w:val="98"/>
              </w:rPr>
              <w:t>205,032,708</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254,455,151</w:t>
            </w:r>
          </w:p>
        </w:tc>
        <w:tc>
          <w:tcPr>
            <w:tcW w:w="0" w:type="dxa"/>
            <w:vAlign w:val="bottom"/>
          </w:tcPr>
          <w:p>
            <w:pPr>
              <w:spacing w:after="0"/>
              <w:rPr>
                <w:sz w:val="1"/>
                <w:szCs w:val="1"/>
                <w:color w:val="auto"/>
              </w:rPr>
            </w:pPr>
          </w:p>
        </w:tc>
      </w:tr>
      <w:tr>
        <w:trPr>
          <w:trHeight w:val="182"/>
        </w:trPr>
        <w:tc>
          <w:tcPr>
            <w:tcW w:w="4700" w:type="dxa"/>
            <w:vAlign w:val="bottom"/>
          </w:tcPr>
          <w:p>
            <w:pPr>
              <w:ind w:left="380"/>
              <w:spacing w:after="0" w:line="182" w:lineRule="exact"/>
              <w:rPr>
                <w:sz w:val="20"/>
                <w:szCs w:val="20"/>
                <w:color w:val="auto"/>
              </w:rPr>
            </w:pPr>
            <w:r>
              <w:rPr>
                <w:rFonts w:ascii="Arial" w:cs="Arial" w:eastAsia="Arial" w:hAnsi="Arial"/>
                <w:sz w:val="16"/>
                <w:szCs w:val="16"/>
                <w:color w:val="auto"/>
              </w:rPr>
              <w:t>Germany</w:t>
            </w:r>
          </w:p>
        </w:tc>
        <w:tc>
          <w:tcPr>
            <w:tcW w:w="100" w:type="dxa"/>
            <w:vAlign w:val="bottom"/>
          </w:tcPr>
          <w:p>
            <w:pPr>
              <w:spacing w:after="0"/>
              <w:rPr>
                <w:sz w:val="15"/>
                <w:szCs w:val="15"/>
                <w:color w:val="auto"/>
              </w:rPr>
            </w:pPr>
          </w:p>
        </w:tc>
        <w:tc>
          <w:tcPr>
            <w:tcW w:w="122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w w:val="98"/>
              </w:rPr>
              <w:t>159,713,458</w:t>
            </w:r>
          </w:p>
        </w:tc>
        <w:tc>
          <w:tcPr>
            <w:tcW w:w="100" w:type="dxa"/>
            <w:vAlign w:val="bottom"/>
          </w:tcPr>
          <w:p>
            <w:pPr>
              <w:spacing w:after="0"/>
              <w:rPr>
                <w:sz w:val="15"/>
                <w:szCs w:val="15"/>
                <w:color w:val="auto"/>
              </w:rPr>
            </w:pPr>
          </w:p>
        </w:tc>
        <w:tc>
          <w:tcPr>
            <w:tcW w:w="120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w w:val="98"/>
              </w:rPr>
              <w:t>179,207,637</w:t>
            </w:r>
          </w:p>
        </w:tc>
        <w:tc>
          <w:tcPr>
            <w:tcW w:w="100" w:type="dxa"/>
            <w:vAlign w:val="bottom"/>
          </w:tcPr>
          <w:p>
            <w:pPr>
              <w:spacing w:after="0"/>
              <w:rPr>
                <w:sz w:val="15"/>
                <w:szCs w:val="15"/>
                <w:color w:val="auto"/>
              </w:rPr>
            </w:pPr>
          </w:p>
        </w:tc>
        <w:tc>
          <w:tcPr>
            <w:tcW w:w="9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162,465,135</w:t>
            </w: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380"/>
              <w:spacing w:after="0" w:line="182" w:lineRule="exact"/>
              <w:rPr>
                <w:sz w:val="20"/>
                <w:szCs w:val="20"/>
                <w:color w:val="auto"/>
              </w:rPr>
            </w:pPr>
            <w:r>
              <w:rPr>
                <w:rFonts w:ascii="Arial" w:cs="Arial" w:eastAsia="Arial" w:hAnsi="Arial"/>
                <w:sz w:val="16"/>
                <w:szCs w:val="16"/>
                <w:color w:val="auto"/>
              </w:rPr>
              <w:t>Japan</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54,867,288</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60,518,677</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59,747,941</w:t>
            </w:r>
          </w:p>
        </w:tc>
        <w:tc>
          <w:tcPr>
            <w:tcW w:w="0" w:type="dxa"/>
            <w:vAlign w:val="bottom"/>
          </w:tcPr>
          <w:p>
            <w:pPr>
              <w:spacing w:after="0"/>
              <w:rPr>
                <w:sz w:val="1"/>
                <w:szCs w:val="1"/>
                <w:color w:val="auto"/>
              </w:rPr>
            </w:pPr>
          </w:p>
        </w:tc>
      </w:tr>
      <w:tr>
        <w:trPr>
          <w:trHeight w:val="182"/>
        </w:trPr>
        <w:tc>
          <w:tcPr>
            <w:tcW w:w="4700" w:type="dxa"/>
            <w:vAlign w:val="bottom"/>
          </w:tcPr>
          <w:p>
            <w:pPr>
              <w:ind w:left="380"/>
              <w:spacing w:after="0" w:line="182" w:lineRule="exact"/>
              <w:rPr>
                <w:sz w:val="20"/>
                <w:szCs w:val="20"/>
                <w:color w:val="auto"/>
              </w:rPr>
            </w:pPr>
            <w:r>
              <w:rPr>
                <w:rFonts w:ascii="Arial" w:cs="Arial" w:eastAsia="Arial" w:hAnsi="Arial"/>
                <w:sz w:val="16"/>
                <w:szCs w:val="16"/>
                <w:color w:val="auto"/>
              </w:rPr>
              <w:t>Other</w:t>
            </w:r>
          </w:p>
        </w:tc>
        <w:tc>
          <w:tcPr>
            <w:tcW w:w="100" w:type="dxa"/>
            <w:vAlign w:val="bottom"/>
          </w:tcPr>
          <w:p>
            <w:pPr>
              <w:spacing w:after="0"/>
              <w:rPr>
                <w:sz w:val="15"/>
                <w:szCs w:val="15"/>
                <w:color w:val="auto"/>
              </w:rPr>
            </w:pPr>
          </w:p>
        </w:tc>
        <w:tc>
          <w:tcPr>
            <w:tcW w:w="122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w w:val="98"/>
              </w:rPr>
              <w:t>137,597,471</w:t>
            </w:r>
          </w:p>
        </w:tc>
        <w:tc>
          <w:tcPr>
            <w:tcW w:w="100" w:type="dxa"/>
            <w:vAlign w:val="bottom"/>
          </w:tcPr>
          <w:p>
            <w:pPr>
              <w:spacing w:after="0"/>
              <w:rPr>
                <w:sz w:val="15"/>
                <w:szCs w:val="15"/>
                <w:color w:val="auto"/>
              </w:rPr>
            </w:pPr>
          </w:p>
        </w:tc>
        <w:tc>
          <w:tcPr>
            <w:tcW w:w="120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w w:val="98"/>
              </w:rPr>
              <w:t>156,704,358</w:t>
            </w:r>
          </w:p>
        </w:tc>
        <w:tc>
          <w:tcPr>
            <w:tcW w:w="100" w:type="dxa"/>
            <w:vAlign w:val="bottom"/>
          </w:tcPr>
          <w:p>
            <w:pPr>
              <w:spacing w:after="0"/>
              <w:rPr>
                <w:sz w:val="15"/>
                <w:szCs w:val="15"/>
                <w:color w:val="auto"/>
              </w:rPr>
            </w:pPr>
          </w:p>
        </w:tc>
        <w:tc>
          <w:tcPr>
            <w:tcW w:w="9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153,430,864</w:t>
            </w: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18,884,986</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22,336,442</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23,834,145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700" w:type="dxa"/>
            <w:vAlign w:val="bottom"/>
          </w:tcPr>
          <w:p>
            <w:pPr>
              <w:ind w:left="380"/>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w w:val="98"/>
              </w:rPr>
              <w:t>544,522,993</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w w:val="98"/>
              </w:rPr>
              <w:t>623,799,822</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653,933,236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Income(Loss) from Operations:</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00" w:type="dxa"/>
            <w:vAlign w:val="bottom"/>
          </w:tcPr>
          <w:p>
            <w:pPr>
              <w:ind w:left="200"/>
              <w:spacing w:after="0" w:line="182" w:lineRule="exact"/>
              <w:rPr>
                <w:sz w:val="20"/>
                <w:szCs w:val="20"/>
                <w:color w:val="auto"/>
              </w:rPr>
            </w:pPr>
            <w:r>
              <w:rPr>
                <w:rFonts w:ascii="Arial" w:cs="Arial" w:eastAsia="Arial" w:hAnsi="Arial"/>
                <w:sz w:val="16"/>
                <w:szCs w:val="16"/>
                <w:color w:val="auto"/>
              </w:rPr>
              <w:t>Automotive Products</w:t>
            </w:r>
          </w:p>
        </w:tc>
        <w:tc>
          <w:tcPr>
            <w:tcW w:w="100" w:type="dxa"/>
            <w:vAlign w:val="bottom"/>
          </w:tcPr>
          <w:p>
            <w:pPr>
              <w:jc w:val="right"/>
              <w:spacing w:after="0" w:line="182" w:lineRule="exact"/>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96,815,575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w w:val="98"/>
              </w:rPr>
              <w:t>109,572,206</w:t>
            </w:r>
          </w:p>
        </w:tc>
        <w:tc>
          <w:tcPr>
            <w:tcW w:w="100" w:type="dxa"/>
            <w:vAlign w:val="bottom"/>
          </w:tcPr>
          <w:p>
            <w:pPr>
              <w:jc w:val="right"/>
              <w:spacing w:after="0" w:line="182" w:lineRule="exact"/>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136,741,562</w:t>
            </w: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260"/>
              <w:spacing w:after="0" w:line="182" w:lineRule="exact"/>
              <w:rPr>
                <w:sz w:val="20"/>
                <w:szCs w:val="20"/>
                <w:color w:val="auto"/>
              </w:rPr>
            </w:pPr>
            <w:r>
              <w:rPr>
                <w:rFonts w:ascii="Arial" w:cs="Arial" w:eastAsia="Arial" w:hAnsi="Arial"/>
                <w:sz w:val="16"/>
                <w:szCs w:val="16"/>
                <w:color w:val="auto"/>
              </w:rPr>
              <w:t>(2,196,506)</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(759,290)</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2,074,201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700" w:type="dxa"/>
            <w:vAlign w:val="bottom"/>
          </w:tcPr>
          <w:p>
            <w:pPr>
              <w:ind w:left="200"/>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94,619,069</w:t>
            </w: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w w:val="98"/>
              </w:rPr>
              <w:t>108,812,916</w:t>
            </w:r>
          </w:p>
        </w:tc>
        <w:tc>
          <w:tcPr>
            <w:tcW w:w="100" w:type="dxa"/>
            <w:vAlign w:val="bottom"/>
          </w:tcPr>
          <w:p>
            <w:pPr>
              <w:jc w:val="right"/>
              <w:spacing w:after="0"/>
              <w:rPr>
                <w:sz w:val="20"/>
                <w:szCs w:val="20"/>
                <w:color w:val="auto"/>
              </w:rPr>
            </w:pPr>
            <w:r>
              <w:rPr>
                <w:rFonts w:ascii="Arial" w:cs="Arial" w:eastAsia="Arial" w:hAnsi="Arial"/>
                <w:sz w:val="16"/>
                <w:szCs w:val="16"/>
                <w:u w:val="single" w:color="auto"/>
                <w:color w:val="auto"/>
                <w:w w:val="89"/>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138,815,763</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Assets:</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00" w:type="dxa"/>
            <w:vAlign w:val="bottom"/>
          </w:tcPr>
          <w:p>
            <w:pPr>
              <w:ind w:left="200"/>
              <w:spacing w:after="0" w:line="182" w:lineRule="exact"/>
              <w:rPr>
                <w:sz w:val="20"/>
                <w:szCs w:val="20"/>
                <w:color w:val="auto"/>
              </w:rPr>
            </w:pPr>
            <w:r>
              <w:rPr>
                <w:rFonts w:ascii="Arial" w:cs="Arial" w:eastAsia="Arial" w:hAnsi="Arial"/>
                <w:sz w:val="16"/>
                <w:szCs w:val="16"/>
                <w:color w:val="auto"/>
              </w:rPr>
              <w:t>Automotive Products</w:t>
            </w:r>
          </w:p>
        </w:tc>
        <w:tc>
          <w:tcPr>
            <w:tcW w:w="100" w:type="dxa"/>
            <w:vAlign w:val="bottom"/>
          </w:tcPr>
          <w:p>
            <w:pPr>
              <w:jc w:val="right"/>
              <w:spacing w:after="0" w:line="182" w:lineRule="exact"/>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w w:val="98"/>
              </w:rPr>
              <w:t>311,306,542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w w:val="98"/>
              </w:rPr>
              <w:t>306,064,439</w:t>
            </w:r>
          </w:p>
        </w:tc>
        <w:tc>
          <w:tcPr>
            <w:tcW w:w="100" w:type="dxa"/>
            <w:vAlign w:val="bottom"/>
          </w:tcPr>
          <w:p>
            <w:pPr>
              <w:jc w:val="right"/>
              <w:spacing w:after="0" w:line="182" w:lineRule="exact"/>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305,519,359</w:t>
            </w: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5,793,232</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5,212,254</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4,182,161</w:t>
            </w:r>
          </w:p>
        </w:tc>
        <w:tc>
          <w:tcPr>
            <w:tcW w:w="0" w:type="dxa"/>
            <w:vAlign w:val="bottom"/>
          </w:tcPr>
          <w:p>
            <w:pPr>
              <w:spacing w:after="0"/>
              <w:rPr>
                <w:sz w:val="1"/>
                <w:szCs w:val="1"/>
                <w:color w:val="auto"/>
              </w:rPr>
            </w:pPr>
          </w:p>
        </w:tc>
      </w:tr>
      <w:tr>
        <w:trPr>
          <w:trHeight w:val="182"/>
        </w:trPr>
        <w:tc>
          <w:tcPr>
            <w:tcW w:w="4700" w:type="dxa"/>
            <w:vAlign w:val="bottom"/>
          </w:tcPr>
          <w:p>
            <w:pPr>
              <w:ind w:left="200"/>
              <w:spacing w:after="0" w:line="182" w:lineRule="exact"/>
              <w:rPr>
                <w:sz w:val="20"/>
                <w:szCs w:val="20"/>
                <w:color w:val="auto"/>
              </w:rPr>
            </w:pPr>
            <w:r>
              <w:rPr>
                <w:rFonts w:ascii="Arial" w:cs="Arial" w:eastAsia="Arial" w:hAnsi="Arial"/>
                <w:sz w:val="16"/>
                <w:szCs w:val="16"/>
                <w:color w:val="auto"/>
              </w:rPr>
              <w:t>Corporate</w:t>
            </w:r>
          </w:p>
        </w:tc>
        <w:tc>
          <w:tcPr>
            <w:tcW w:w="100" w:type="dxa"/>
            <w:vAlign w:val="bottom"/>
          </w:tcPr>
          <w:p>
            <w:pPr>
              <w:spacing w:after="0"/>
              <w:rPr>
                <w:sz w:val="15"/>
                <w:szCs w:val="15"/>
                <w:color w:val="auto"/>
              </w:rPr>
            </w:pPr>
          </w:p>
        </w:tc>
        <w:tc>
          <w:tcPr>
            <w:tcW w:w="122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w w:val="98"/>
              </w:rPr>
              <w:t>505,503,715</w:t>
            </w:r>
          </w:p>
        </w:tc>
        <w:tc>
          <w:tcPr>
            <w:tcW w:w="100" w:type="dxa"/>
            <w:vAlign w:val="bottom"/>
          </w:tcPr>
          <w:p>
            <w:pPr>
              <w:spacing w:after="0"/>
              <w:rPr>
                <w:sz w:val="15"/>
                <w:szCs w:val="15"/>
                <w:color w:val="auto"/>
              </w:rPr>
            </w:pPr>
          </w:p>
        </w:tc>
        <w:tc>
          <w:tcPr>
            <w:tcW w:w="120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w w:val="98"/>
              </w:rPr>
              <w:t>451,826,687</w:t>
            </w:r>
          </w:p>
        </w:tc>
        <w:tc>
          <w:tcPr>
            <w:tcW w:w="100" w:type="dxa"/>
            <w:vAlign w:val="bottom"/>
          </w:tcPr>
          <w:p>
            <w:pPr>
              <w:spacing w:after="0"/>
              <w:rPr>
                <w:sz w:val="15"/>
                <w:szCs w:val="15"/>
                <w:color w:val="auto"/>
              </w:rPr>
            </w:pPr>
          </w:p>
        </w:tc>
        <w:tc>
          <w:tcPr>
            <w:tcW w:w="9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588,321,160</w:t>
            </w:r>
          </w:p>
        </w:tc>
        <w:tc>
          <w:tcPr>
            <w:tcW w:w="0" w:type="dxa"/>
            <w:vAlign w:val="bottom"/>
          </w:tcPr>
          <w:p>
            <w:pPr>
              <w:spacing w:after="0"/>
              <w:rPr>
                <w:sz w:val="1"/>
                <w:szCs w:val="1"/>
                <w:color w:val="auto"/>
              </w:rPr>
            </w:pPr>
          </w:p>
        </w:tc>
      </w:tr>
      <w:tr>
        <w:trPr>
          <w:trHeight w:val="24"/>
        </w:trPr>
        <w:tc>
          <w:tcPr>
            <w:tcW w:w="4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Total</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w w:val="89"/>
              </w:rPr>
              <w:t>$</w:t>
            </w:r>
          </w:p>
        </w:tc>
        <w:tc>
          <w:tcPr>
            <w:tcW w:w="12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w w:val="98"/>
              </w:rPr>
              <w:t>822,603,489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2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w w:val="98"/>
              </w:rPr>
              <w:t>763,103,380</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u w:val="single" w:color="auto"/>
                <w:color w:val="auto"/>
                <w:w w:val="89"/>
              </w:rPr>
              <w:t>$</w:t>
            </w: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898,022,680</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20"/>
              <w:spacing w:after="0"/>
              <w:rPr>
                <w:sz w:val="20"/>
                <w:szCs w:val="20"/>
                <w:color w:val="auto"/>
              </w:rPr>
            </w:pPr>
            <w:r>
              <w:rPr>
                <w:rFonts w:ascii="Arial" w:cs="Arial" w:eastAsia="Arial" w:hAnsi="Arial"/>
                <w:sz w:val="16"/>
                <w:szCs w:val="16"/>
                <w:color w:val="auto"/>
              </w:rPr>
              <w:t>Depreciation &amp; Amortization: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Automotive Products</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34,960,303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33,204,201</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29,796,901</w:t>
            </w:r>
          </w:p>
        </w:tc>
        <w:tc>
          <w:tcPr>
            <w:tcW w:w="0" w:type="dxa"/>
            <w:vAlign w:val="bottom"/>
          </w:tcPr>
          <w:p>
            <w:pPr>
              <w:spacing w:after="0"/>
              <w:rPr>
                <w:sz w:val="1"/>
                <w:szCs w:val="1"/>
                <w:color w:val="auto"/>
              </w:rPr>
            </w:pPr>
          </w:p>
        </w:tc>
      </w:tr>
      <w:tr>
        <w:trPr>
          <w:trHeight w:val="182"/>
        </w:trPr>
        <w:tc>
          <w:tcPr>
            <w:tcW w:w="4700" w:type="dxa"/>
            <w:vAlign w:val="bottom"/>
          </w:tcPr>
          <w:p>
            <w:pPr>
              <w:ind w:left="200"/>
              <w:spacing w:after="0" w:line="182" w:lineRule="exact"/>
              <w:rPr>
                <w:sz w:val="20"/>
                <w:szCs w:val="20"/>
                <w:color w:val="auto"/>
              </w:rPr>
            </w:pPr>
            <w:r>
              <w:rPr>
                <w:rFonts w:ascii="Arial" w:cs="Arial" w:eastAsia="Arial" w:hAnsi="Arial"/>
                <w:sz w:val="16"/>
                <w:szCs w:val="16"/>
                <w:color w:val="auto"/>
              </w:rPr>
              <w:t>Other</w:t>
            </w:r>
          </w:p>
        </w:tc>
        <w:tc>
          <w:tcPr>
            <w:tcW w:w="100" w:type="dxa"/>
            <w:vAlign w:val="bottom"/>
          </w:tcPr>
          <w:p>
            <w:pPr>
              <w:spacing w:after="0"/>
              <w:rPr>
                <w:sz w:val="15"/>
                <w:szCs w:val="15"/>
                <w:color w:val="auto"/>
              </w:rPr>
            </w:pPr>
          </w:p>
        </w:tc>
        <w:tc>
          <w:tcPr>
            <w:tcW w:w="122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243,734</w:t>
            </w:r>
          </w:p>
        </w:tc>
        <w:tc>
          <w:tcPr>
            <w:tcW w:w="100" w:type="dxa"/>
            <w:vAlign w:val="bottom"/>
          </w:tcPr>
          <w:p>
            <w:pPr>
              <w:spacing w:after="0"/>
              <w:rPr>
                <w:sz w:val="15"/>
                <w:szCs w:val="15"/>
                <w:color w:val="auto"/>
              </w:rPr>
            </w:pPr>
          </w:p>
        </w:tc>
        <w:tc>
          <w:tcPr>
            <w:tcW w:w="120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245,336</w:t>
            </w:r>
          </w:p>
        </w:tc>
        <w:tc>
          <w:tcPr>
            <w:tcW w:w="100" w:type="dxa"/>
            <w:vAlign w:val="bottom"/>
          </w:tcPr>
          <w:p>
            <w:pPr>
              <w:spacing w:after="0"/>
              <w:rPr>
                <w:sz w:val="15"/>
                <w:szCs w:val="15"/>
                <w:color w:val="auto"/>
              </w:rPr>
            </w:pPr>
          </w:p>
        </w:tc>
        <w:tc>
          <w:tcPr>
            <w:tcW w:w="9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235,582</w:t>
            </w: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Corporate</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3,160,455</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2,441,530</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2,402,775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700" w:type="dxa"/>
            <w:vAlign w:val="bottom"/>
          </w:tcPr>
          <w:p>
            <w:pPr>
              <w:ind w:left="200"/>
              <w:spacing w:after="0"/>
              <w:rPr>
                <w:sz w:val="20"/>
                <w:szCs w:val="20"/>
                <w:color w:val="auto"/>
              </w:rPr>
            </w:pPr>
            <w:r>
              <w:rPr>
                <w:rFonts w:ascii="Arial" w:cs="Arial" w:eastAsia="Arial" w:hAnsi="Arial"/>
                <w:sz w:val="16"/>
                <w:szCs w:val="16"/>
                <w:color w:val="auto"/>
              </w:rPr>
              <w:t>Total</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320"/>
              <w:spacing w:after="0"/>
              <w:rPr>
                <w:sz w:val="20"/>
                <w:szCs w:val="20"/>
                <w:color w:val="auto"/>
              </w:rPr>
            </w:pPr>
            <w:r>
              <w:rPr>
                <w:rFonts w:ascii="Arial" w:cs="Arial" w:eastAsia="Arial" w:hAnsi="Arial"/>
                <w:sz w:val="16"/>
                <w:szCs w:val="16"/>
                <w:color w:val="auto"/>
              </w:rPr>
              <w:t>38,364,492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35,891,067</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60"/>
              <w:spacing w:after="0"/>
              <w:rPr>
                <w:sz w:val="20"/>
                <w:szCs w:val="20"/>
                <w:color w:val="auto"/>
              </w:rPr>
            </w:pPr>
            <w:r>
              <w:rPr>
                <w:rFonts w:ascii="Arial" w:cs="Arial" w:eastAsia="Arial" w:hAnsi="Arial"/>
                <w:sz w:val="16"/>
                <w:szCs w:val="16"/>
                <w:color w:val="auto"/>
              </w:rPr>
              <w:t>32,435,258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
              <w:spacing w:after="0" w:line="182" w:lineRule="exact"/>
              <w:rPr>
                <w:sz w:val="20"/>
                <w:szCs w:val="20"/>
                <w:color w:val="auto"/>
              </w:rPr>
            </w:pPr>
            <w:r>
              <w:rPr>
                <w:rFonts w:ascii="Arial" w:cs="Arial" w:eastAsia="Arial" w:hAnsi="Arial"/>
                <w:sz w:val="16"/>
                <w:szCs w:val="16"/>
                <w:color w:val="auto"/>
              </w:rPr>
              <w:t>Capital Expenditures:</w:t>
            </w: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00" w:type="dxa"/>
            <w:vAlign w:val="bottom"/>
          </w:tcPr>
          <w:p>
            <w:pPr>
              <w:ind w:left="200"/>
              <w:spacing w:after="0" w:line="182" w:lineRule="exact"/>
              <w:rPr>
                <w:sz w:val="20"/>
                <w:szCs w:val="20"/>
                <w:color w:val="auto"/>
              </w:rPr>
            </w:pPr>
            <w:r>
              <w:rPr>
                <w:rFonts w:ascii="Arial" w:cs="Arial" w:eastAsia="Arial" w:hAnsi="Arial"/>
                <w:sz w:val="16"/>
                <w:szCs w:val="16"/>
                <w:color w:val="auto"/>
              </w:rPr>
              <w:t>Automotive Products</w:t>
            </w:r>
          </w:p>
        </w:tc>
        <w:tc>
          <w:tcPr>
            <w:tcW w:w="100" w:type="dxa"/>
            <w:vAlign w:val="bottom"/>
          </w:tcPr>
          <w:p>
            <w:pPr>
              <w:jc w:val="right"/>
              <w:spacing w:after="0" w:line="182" w:lineRule="exact"/>
              <w:rPr>
                <w:sz w:val="20"/>
                <w:szCs w:val="20"/>
                <w:color w:val="auto"/>
              </w:rPr>
            </w:pPr>
            <w:r>
              <w:rPr>
                <w:rFonts w:ascii="Arial" w:cs="Arial" w:eastAsia="Arial" w:hAnsi="Arial"/>
                <w:sz w:val="16"/>
                <w:szCs w:val="16"/>
                <w:color w:val="auto"/>
                <w:w w:val="89"/>
              </w:rPr>
              <w:t>$</w:t>
            </w:r>
          </w:p>
        </w:tc>
        <w:tc>
          <w:tcPr>
            <w:tcW w:w="122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15,250,621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44,939,925</w:t>
            </w:r>
          </w:p>
        </w:tc>
        <w:tc>
          <w:tcPr>
            <w:tcW w:w="100" w:type="dxa"/>
            <w:vAlign w:val="bottom"/>
          </w:tcPr>
          <w:p>
            <w:pPr>
              <w:jc w:val="right"/>
              <w:spacing w:after="0" w:line="182" w:lineRule="exact"/>
              <w:rPr>
                <w:sz w:val="20"/>
                <w:szCs w:val="20"/>
                <w:color w:val="auto"/>
              </w:rPr>
            </w:pPr>
            <w:r>
              <w:rPr>
                <w:rFonts w:ascii="Arial" w:cs="Arial" w:eastAsia="Arial" w:hAnsi="Arial"/>
                <w:sz w:val="16"/>
                <w:szCs w:val="16"/>
                <w:color w:val="auto"/>
                <w:w w:val="89"/>
              </w:rPr>
              <w:t>$</w:t>
            </w:r>
          </w:p>
        </w:tc>
        <w:tc>
          <w:tcPr>
            <w:tcW w:w="9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52,378,659</w:t>
            </w:r>
          </w:p>
        </w:tc>
        <w:tc>
          <w:tcPr>
            <w:tcW w:w="0" w:type="dxa"/>
            <w:vAlign w:val="bottom"/>
          </w:tcPr>
          <w:p>
            <w:pPr>
              <w:spacing w:after="0"/>
              <w:rPr>
                <w:sz w:val="1"/>
                <w:szCs w:val="1"/>
                <w:color w:val="auto"/>
              </w:rPr>
            </w:pPr>
          </w:p>
        </w:tc>
      </w:tr>
      <w:tr>
        <w:trPr>
          <w:trHeight w:val="182"/>
        </w:trPr>
        <w:tc>
          <w:tcPr>
            <w:tcW w:w="470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Other</w:t>
            </w:r>
          </w:p>
        </w:tc>
        <w:tc>
          <w:tcPr>
            <w:tcW w:w="1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567,486</w:t>
            </w:r>
          </w:p>
        </w:tc>
        <w:tc>
          <w:tcPr>
            <w:tcW w:w="1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584,541</w:t>
            </w:r>
          </w:p>
        </w:tc>
        <w:tc>
          <w:tcPr>
            <w:tcW w:w="1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192,339</w:t>
            </w:r>
          </w:p>
        </w:tc>
        <w:tc>
          <w:tcPr>
            <w:tcW w:w="0" w:type="dxa"/>
            <w:vAlign w:val="bottom"/>
          </w:tcPr>
          <w:p>
            <w:pPr>
              <w:spacing w:after="0"/>
              <w:rPr>
                <w:sz w:val="1"/>
                <w:szCs w:val="1"/>
                <w:color w:val="auto"/>
              </w:rPr>
            </w:pPr>
          </w:p>
        </w:tc>
      </w:tr>
      <w:tr>
        <w:trPr>
          <w:trHeight w:val="182"/>
        </w:trPr>
        <w:tc>
          <w:tcPr>
            <w:tcW w:w="4700" w:type="dxa"/>
            <w:vAlign w:val="bottom"/>
          </w:tcPr>
          <w:p>
            <w:pPr>
              <w:ind w:left="200"/>
              <w:spacing w:after="0" w:line="182" w:lineRule="exact"/>
              <w:rPr>
                <w:sz w:val="20"/>
                <w:szCs w:val="20"/>
                <w:color w:val="auto"/>
              </w:rPr>
            </w:pPr>
            <w:r>
              <w:rPr>
                <w:rFonts w:ascii="Arial" w:cs="Arial" w:eastAsia="Arial" w:hAnsi="Arial"/>
                <w:sz w:val="16"/>
                <w:szCs w:val="16"/>
                <w:color w:val="auto"/>
              </w:rPr>
              <w:t>Corporate</w:t>
            </w:r>
          </w:p>
        </w:tc>
        <w:tc>
          <w:tcPr>
            <w:tcW w:w="100" w:type="dxa"/>
            <w:vAlign w:val="bottom"/>
          </w:tcPr>
          <w:p>
            <w:pPr>
              <w:spacing w:after="0"/>
              <w:rPr>
                <w:sz w:val="15"/>
                <w:szCs w:val="15"/>
                <w:color w:val="auto"/>
              </w:rPr>
            </w:pPr>
          </w:p>
        </w:tc>
        <w:tc>
          <w:tcPr>
            <w:tcW w:w="1220" w:type="dxa"/>
            <w:vAlign w:val="bottom"/>
            <w:gridSpan w:val="2"/>
          </w:tcPr>
          <w:p>
            <w:pPr>
              <w:jc w:val="right"/>
              <w:ind w:right="320"/>
              <w:spacing w:after="0" w:line="182" w:lineRule="exact"/>
              <w:rPr>
                <w:sz w:val="20"/>
                <w:szCs w:val="20"/>
                <w:color w:val="auto"/>
              </w:rPr>
            </w:pPr>
            <w:r>
              <w:rPr>
                <w:rFonts w:ascii="Arial" w:cs="Arial" w:eastAsia="Arial" w:hAnsi="Arial"/>
                <w:sz w:val="16"/>
                <w:szCs w:val="16"/>
                <w:color w:val="auto"/>
              </w:rPr>
              <w:t>5,312,393</w:t>
            </w:r>
          </w:p>
        </w:tc>
        <w:tc>
          <w:tcPr>
            <w:tcW w:w="100" w:type="dxa"/>
            <w:vAlign w:val="bottom"/>
          </w:tcPr>
          <w:p>
            <w:pPr>
              <w:spacing w:after="0"/>
              <w:rPr>
                <w:sz w:val="15"/>
                <w:szCs w:val="15"/>
                <w:color w:val="auto"/>
              </w:rPr>
            </w:pPr>
          </w:p>
        </w:tc>
        <w:tc>
          <w:tcPr>
            <w:tcW w:w="1200" w:type="dxa"/>
            <w:vAlign w:val="bottom"/>
            <w:gridSpan w:val="2"/>
          </w:tcPr>
          <w:p>
            <w:pPr>
              <w:jc w:val="right"/>
              <w:ind w:right="300"/>
              <w:spacing w:after="0" w:line="182" w:lineRule="exact"/>
              <w:rPr>
                <w:sz w:val="20"/>
                <w:szCs w:val="20"/>
                <w:color w:val="auto"/>
              </w:rPr>
            </w:pPr>
            <w:r>
              <w:rPr>
                <w:rFonts w:ascii="Arial" w:cs="Arial" w:eastAsia="Arial" w:hAnsi="Arial"/>
                <w:sz w:val="16"/>
                <w:szCs w:val="16"/>
                <w:color w:val="auto"/>
              </w:rPr>
              <w:t>0</w:t>
            </w:r>
          </w:p>
        </w:tc>
        <w:tc>
          <w:tcPr>
            <w:tcW w:w="100" w:type="dxa"/>
            <w:vAlign w:val="bottom"/>
          </w:tcPr>
          <w:p>
            <w:pPr>
              <w:spacing w:after="0"/>
              <w:rPr>
                <w:sz w:val="15"/>
                <w:szCs w:val="15"/>
                <w:color w:val="auto"/>
              </w:rPr>
            </w:pPr>
          </w:p>
        </w:tc>
        <w:tc>
          <w:tcPr>
            <w:tcW w:w="980" w:type="dxa"/>
            <w:vAlign w:val="bottom"/>
            <w:gridSpan w:val="2"/>
          </w:tcPr>
          <w:p>
            <w:pPr>
              <w:jc w:val="right"/>
              <w:ind w:right="60"/>
              <w:spacing w:after="0" w:line="182" w:lineRule="exact"/>
              <w:rPr>
                <w:sz w:val="20"/>
                <w:szCs w:val="20"/>
                <w:color w:val="auto"/>
              </w:rPr>
            </w:pPr>
            <w:r>
              <w:rPr>
                <w:rFonts w:ascii="Arial" w:cs="Arial" w:eastAsia="Arial" w:hAnsi="Arial"/>
                <w:sz w:val="16"/>
                <w:szCs w:val="16"/>
                <w:color w:val="auto"/>
              </w:rPr>
              <w:t>1,953,324</w:t>
            </w:r>
          </w:p>
        </w:tc>
        <w:tc>
          <w:tcPr>
            <w:tcW w:w="0" w:type="dxa"/>
            <w:vAlign w:val="bottom"/>
          </w:tcPr>
          <w:p>
            <w:pPr>
              <w:spacing w:after="0"/>
              <w:rPr>
                <w:sz w:val="1"/>
                <w:szCs w:val="1"/>
                <w:color w:val="auto"/>
              </w:rPr>
            </w:pPr>
          </w:p>
        </w:tc>
      </w:tr>
      <w:tr>
        <w:trPr>
          <w:trHeight w:val="24"/>
        </w:trPr>
        <w:tc>
          <w:tcPr>
            <w:tcW w:w="4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shd w:val="clear" w:color="auto" w:fill="CCEEFF"/>
          </w:tcPr>
          <w:p>
            <w:pPr>
              <w:ind w:left="200"/>
              <w:spacing w:after="0" w:line="182" w:lineRule="exact"/>
              <w:rPr>
                <w:sz w:val="20"/>
                <w:szCs w:val="20"/>
                <w:color w:val="auto"/>
              </w:rPr>
            </w:pPr>
            <w:r>
              <w:rPr>
                <w:rFonts w:ascii="Arial" w:cs="Arial" w:eastAsia="Arial" w:hAnsi="Arial"/>
                <w:sz w:val="16"/>
                <w:szCs w:val="16"/>
                <w:color w:val="auto"/>
              </w:rPr>
              <w:t>Total</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CEEFF"/>
          </w:tcPr>
          <w:p>
            <w:pPr>
              <w:jc w:val="right"/>
              <w:ind w:right="320"/>
              <w:spacing w:after="0" w:line="182" w:lineRule="exact"/>
              <w:rPr>
                <w:sz w:val="20"/>
                <w:szCs w:val="20"/>
                <w:color w:val="auto"/>
              </w:rPr>
            </w:pPr>
            <w:r>
              <w:rPr>
                <w:rFonts w:ascii="Arial" w:cs="Arial" w:eastAsia="Arial" w:hAnsi="Arial"/>
                <w:sz w:val="16"/>
                <w:szCs w:val="16"/>
                <w:color w:val="auto"/>
              </w:rPr>
              <w:t>21,130,500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300"/>
              <w:spacing w:after="0" w:line="182" w:lineRule="exact"/>
              <w:rPr>
                <w:sz w:val="20"/>
                <w:szCs w:val="20"/>
                <w:color w:val="auto"/>
              </w:rPr>
            </w:pPr>
            <w:r>
              <w:rPr>
                <w:rFonts w:ascii="Arial" w:cs="Arial" w:eastAsia="Arial" w:hAnsi="Arial"/>
                <w:sz w:val="16"/>
                <w:szCs w:val="16"/>
                <w:color w:val="auto"/>
              </w:rPr>
              <w:t>45,524,466</w:t>
            </w:r>
          </w:p>
        </w:tc>
        <w:tc>
          <w:tcPr>
            <w:tcW w:w="100" w:type="dxa"/>
            <w:vAlign w:val="bottom"/>
            <w:shd w:val="clear" w:color="auto" w:fill="CCEEFF"/>
          </w:tcPr>
          <w:p>
            <w:pPr>
              <w:jc w:val="right"/>
              <w:spacing w:after="0" w:line="182" w:lineRule="exact"/>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6"/>
                <w:szCs w:val="16"/>
                <w:color w:val="auto"/>
              </w:rPr>
              <w:t>54,524,322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620" w:right="1619"/>
        <w:spacing w:after="0" w:line="244" w:lineRule="auto"/>
        <w:rPr>
          <w:sz w:val="20"/>
          <w:szCs w:val="20"/>
          <w:color w:val="auto"/>
        </w:rPr>
      </w:pPr>
      <w:r>
        <w:rPr>
          <w:rFonts w:ascii="Arial" w:cs="Arial" w:eastAsia="Arial" w:hAnsi="Arial"/>
          <w:sz w:val="16"/>
          <w:szCs w:val="16"/>
          <w:color w:val="auto"/>
        </w:rPr>
        <w:t>Other includes Fire Protection Products and Dimmable Aircraft Windows. The Dimmable Aircraft Windows segment began during 2007. There were no Dimmable Aircraft Window sales in 2007 and sales were negligible during 2008 and 2009, which resulted in a loss from operations for the “Other” category.</w:t>
      </w:r>
    </w:p>
    <w:p>
      <w:pPr>
        <w:spacing w:after="0" w:line="156" w:lineRule="exact"/>
        <w:rPr>
          <w:sz w:val="20"/>
          <w:szCs w:val="20"/>
          <w:color w:val="auto"/>
        </w:rPr>
      </w:pPr>
    </w:p>
    <w:p>
      <w:pPr>
        <w:ind w:left="620" w:right="1679"/>
        <w:spacing w:after="0" w:line="251" w:lineRule="auto"/>
        <w:rPr>
          <w:sz w:val="20"/>
          <w:szCs w:val="20"/>
          <w:color w:val="auto"/>
        </w:rPr>
      </w:pPr>
      <w:r>
        <w:rPr>
          <w:rFonts w:ascii="Arial" w:cs="Arial" w:eastAsia="Arial" w:hAnsi="Arial"/>
          <w:sz w:val="16"/>
          <w:szCs w:val="16"/>
          <w:color w:val="auto"/>
        </w:rPr>
        <w:t>Corporate assets are principally cash and cash equivalents, investments, deferred income taxes and corporate fixed assets. Substantially all long-lived assets are located in the U.S.</w:t>
      </w:r>
    </w:p>
    <w:p>
      <w:pPr>
        <w:spacing w:after="0" w:line="200" w:lineRule="exact"/>
        <w:rPr>
          <w:sz w:val="20"/>
          <w:szCs w:val="20"/>
          <w:color w:val="auto"/>
        </w:rPr>
      </w:pPr>
    </w:p>
    <w:p>
      <w:pPr>
        <w:spacing w:after="0" w:line="278"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u w:val="single" w:color="auto"/>
          <w:color w:val="auto"/>
        </w:rPr>
        <w:t>GENTEX CORPORATION AND SUBSIDIARIES</w:t>
      </w:r>
    </w:p>
    <w:p>
      <w:pPr>
        <w:spacing w:after="0" w:line="17"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u w:val="single" w:color="auto"/>
          <w:color w:val="auto"/>
        </w:rPr>
        <w:t>NOTES TO CONSOLIDATED FINANCIAL STATEMENTS</w:t>
      </w:r>
    </w:p>
    <w:p>
      <w:pPr>
        <w:jc w:val="center"/>
        <w:ind w:right="1239"/>
        <w:spacing w:after="0"/>
        <w:rPr>
          <w:sz w:val="20"/>
          <w:szCs w:val="20"/>
          <w:color w:val="auto"/>
        </w:rPr>
      </w:pPr>
      <w:r>
        <w:rPr>
          <w:rFonts w:ascii="Arial" w:cs="Arial" w:eastAsia="Arial" w:hAnsi="Arial"/>
          <w:sz w:val="16"/>
          <w:szCs w:val="16"/>
          <w:b w:val="1"/>
          <w:bCs w:val="1"/>
          <w:color w:val="auto"/>
        </w:rPr>
        <w:t>(Continued)</w:t>
      </w:r>
    </w:p>
    <w:p>
      <w:pPr>
        <w:spacing w:after="0" w:line="168" w:lineRule="exact"/>
        <w:rPr>
          <w:sz w:val="20"/>
          <w:szCs w:val="20"/>
          <w:color w:val="auto"/>
        </w:rPr>
      </w:pPr>
    </w:p>
    <w:p>
      <w:pPr>
        <w:ind w:left="600" w:hanging="311"/>
        <w:spacing w:after="0"/>
        <w:tabs>
          <w:tab w:leader="none" w:pos="6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SEGMENT REPORTING, continued</w:t>
      </w:r>
    </w:p>
    <w:p>
      <w:pPr>
        <w:spacing w:after="0" w:line="156" w:lineRule="exact"/>
        <w:rPr>
          <w:rFonts w:ascii="Arial" w:cs="Arial" w:eastAsia="Arial" w:hAnsi="Arial"/>
          <w:sz w:val="16"/>
          <w:szCs w:val="16"/>
          <w:color w:val="auto"/>
        </w:rPr>
      </w:pPr>
    </w:p>
    <w:p>
      <w:pPr>
        <w:ind w:left="620" w:right="1619"/>
        <w:spacing w:after="0" w:line="242" w:lineRule="auto"/>
        <w:rPr>
          <w:rFonts w:ascii="Arial" w:cs="Arial" w:eastAsia="Arial" w:hAnsi="Arial"/>
          <w:sz w:val="16"/>
          <w:szCs w:val="16"/>
          <w:color w:val="auto"/>
        </w:rPr>
      </w:pPr>
      <w:r>
        <w:rPr>
          <w:rFonts w:ascii="Arial" w:cs="Arial" w:eastAsia="Arial" w:hAnsi="Arial"/>
          <w:sz w:val="16"/>
          <w:szCs w:val="16"/>
          <w:color w:val="auto"/>
        </w:rPr>
        <w:t>Automotive Products revenues in the “Other” category are sales to automotive manufacturing plants in Canada, Mexico and Korea, as well as other foreign automotive customers. Most of the Company’s non-U.S. sales are invoiced and paid in U.S. dollars. During 2009, approximately 11% of the Company’s net sales were invoiced and paid in European Euros.</w:t>
      </w:r>
    </w:p>
    <w:p>
      <w:pPr>
        <w:spacing w:after="0" w:line="144" w:lineRule="exact"/>
        <w:rPr>
          <w:rFonts w:ascii="Arial" w:cs="Arial" w:eastAsia="Arial" w:hAnsi="Arial"/>
          <w:sz w:val="16"/>
          <w:szCs w:val="16"/>
          <w:color w:val="auto"/>
        </w:rPr>
      </w:pPr>
    </w:p>
    <w:p>
      <w:pPr>
        <w:ind w:left="620" w:right="1739"/>
        <w:spacing w:after="0" w:line="244" w:lineRule="auto"/>
        <w:rPr>
          <w:rFonts w:ascii="Arial" w:cs="Arial" w:eastAsia="Arial" w:hAnsi="Arial"/>
          <w:sz w:val="16"/>
          <w:szCs w:val="16"/>
          <w:color w:val="auto"/>
        </w:rPr>
      </w:pPr>
      <w:r>
        <w:rPr>
          <w:rFonts w:ascii="Arial" w:cs="Arial" w:eastAsia="Arial" w:hAnsi="Arial"/>
          <w:sz w:val="16"/>
          <w:szCs w:val="16"/>
          <w:color w:val="auto"/>
        </w:rPr>
        <w:t>During the years presented, the Company had six automotive customers (includes direct sales to OEM customers and sales through their Tier 1 suppliers), which individually accounted for 10% or more of net sales as follows:</w:t>
      </w:r>
    </w:p>
    <w:p>
      <w:pPr>
        <w:spacing w:after="0" w:line="167" w:lineRule="exact"/>
        <w:rPr>
          <w:sz w:val="20"/>
          <w:szCs w:val="20"/>
          <w:color w:val="auto"/>
        </w:rPr>
      </w:pPr>
    </w:p>
    <w:tbl>
      <w:tblPr>
        <w:tblLayout w:type="fixed"/>
        <w:tblInd w:w="280" w:type="dxa"/>
        <w:tblCellMar>
          <w:top w:w="0" w:type="dxa"/>
          <w:left w:w="0" w:type="dxa"/>
          <w:bottom w:w="0" w:type="dxa"/>
          <w:right w:w="0" w:type="dxa"/>
        </w:tblCellMar>
      </w:tblPr>
      <w:tr>
        <w:trPr>
          <w:trHeight w:val="184"/>
        </w:trPr>
        <w:tc>
          <w:tcPr>
            <w:tcW w:w="23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4"/>
          </w:tcPr>
          <w:p>
            <w:pPr>
              <w:jc w:val="right"/>
              <w:ind w:right="980"/>
              <w:spacing w:after="0"/>
              <w:rPr>
                <w:sz w:val="20"/>
                <w:szCs w:val="20"/>
                <w:color w:val="auto"/>
              </w:rPr>
            </w:pPr>
            <w:r>
              <w:rPr>
                <w:rFonts w:ascii="Arial" w:cs="Arial" w:eastAsia="Arial" w:hAnsi="Arial"/>
                <w:sz w:val="16"/>
                <w:szCs w:val="16"/>
                <w:color w:val="auto"/>
              </w:rPr>
              <w:t>Customer</w:t>
            </w:r>
          </w:p>
        </w:tc>
        <w:tc>
          <w:tcPr>
            <w:tcW w:w="6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174"/>
        </w:trPr>
        <w:tc>
          <w:tcPr>
            <w:tcW w:w="2320" w:type="dxa"/>
            <w:vAlign w:val="bottom"/>
          </w:tcPr>
          <w:p>
            <w:pPr>
              <w:spacing w:after="0"/>
              <w:rPr>
                <w:sz w:val="15"/>
                <w:szCs w:val="15"/>
                <w:color w:val="auto"/>
              </w:rPr>
            </w:pPr>
          </w:p>
        </w:tc>
        <w:tc>
          <w:tcPr>
            <w:tcW w:w="1200" w:type="dxa"/>
            <w:vAlign w:val="bottom"/>
            <w:gridSpan w:val="2"/>
          </w:tcPr>
          <w:p>
            <w:pPr>
              <w:jc w:val="center"/>
              <w:ind w:right="360"/>
              <w:spacing w:after="0" w:line="174" w:lineRule="exact"/>
              <w:rPr>
                <w:sz w:val="20"/>
                <w:szCs w:val="20"/>
                <w:color w:val="auto"/>
              </w:rPr>
            </w:pPr>
            <w:r>
              <w:rPr>
                <w:rFonts w:ascii="Arial" w:cs="Arial" w:eastAsia="Arial" w:hAnsi="Arial"/>
                <w:sz w:val="16"/>
                <w:szCs w:val="16"/>
                <w:color w:val="auto"/>
                <w:w w:val="98"/>
              </w:rPr>
              <w:t>Toyota</w:t>
            </w: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2"/>
        </w:trPr>
        <w:tc>
          <w:tcPr>
            <w:tcW w:w="2320" w:type="dxa"/>
            <w:vAlign w:val="bottom"/>
          </w:tcPr>
          <w:p>
            <w:pPr>
              <w:spacing w:after="0"/>
              <w:rPr>
                <w:sz w:val="15"/>
                <w:szCs w:val="15"/>
                <w:color w:val="auto"/>
              </w:rPr>
            </w:pPr>
          </w:p>
        </w:tc>
        <w:tc>
          <w:tcPr>
            <w:tcW w:w="1200" w:type="dxa"/>
            <w:vAlign w:val="bottom"/>
            <w:gridSpan w:val="2"/>
          </w:tcPr>
          <w:p>
            <w:pPr>
              <w:jc w:val="center"/>
              <w:ind w:right="360"/>
              <w:spacing w:after="0" w:line="182" w:lineRule="exact"/>
              <w:rPr>
                <w:sz w:val="20"/>
                <w:szCs w:val="20"/>
                <w:color w:val="auto"/>
              </w:rPr>
            </w:pPr>
            <w:r>
              <w:rPr>
                <w:rFonts w:ascii="Arial" w:cs="Arial" w:eastAsia="Arial" w:hAnsi="Arial"/>
                <w:sz w:val="16"/>
                <w:szCs w:val="16"/>
                <w:color w:val="auto"/>
                <w:w w:val="97"/>
              </w:rPr>
              <w:t>Motor</w:t>
            </w:r>
          </w:p>
        </w:tc>
        <w:tc>
          <w:tcPr>
            <w:tcW w:w="6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gridSpan w:val="2"/>
          </w:tcPr>
          <w:p>
            <w:pPr>
              <w:jc w:val="right"/>
              <w:ind w:right="400"/>
              <w:spacing w:after="0" w:line="182" w:lineRule="exact"/>
              <w:rPr>
                <w:sz w:val="20"/>
                <w:szCs w:val="20"/>
                <w:color w:val="auto"/>
              </w:rPr>
            </w:pPr>
            <w:r>
              <w:rPr>
                <w:rFonts w:ascii="Arial" w:cs="Arial" w:eastAsia="Arial" w:hAnsi="Arial"/>
                <w:sz w:val="16"/>
                <w:szCs w:val="16"/>
                <w:color w:val="auto"/>
              </w:rPr>
              <w:t>General</w:t>
            </w:r>
          </w:p>
        </w:tc>
        <w:tc>
          <w:tcPr>
            <w:tcW w:w="1040" w:type="dxa"/>
            <w:vAlign w:val="bottom"/>
            <w:gridSpan w:val="2"/>
          </w:tcPr>
          <w:p>
            <w:pPr>
              <w:jc w:val="right"/>
              <w:ind w:right="420"/>
              <w:spacing w:after="0" w:line="182" w:lineRule="exact"/>
              <w:rPr>
                <w:sz w:val="20"/>
                <w:szCs w:val="20"/>
                <w:color w:val="auto"/>
              </w:rPr>
            </w:pPr>
            <w:r>
              <w:rPr>
                <w:rFonts w:ascii="Arial" w:cs="Arial" w:eastAsia="Arial" w:hAnsi="Arial"/>
                <w:sz w:val="16"/>
                <w:szCs w:val="16"/>
                <w:color w:val="auto"/>
              </w:rPr>
              <w:t>Daimler</w:t>
            </w:r>
          </w:p>
        </w:tc>
        <w:tc>
          <w:tcPr>
            <w:tcW w:w="6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3"/>
        </w:trPr>
        <w:tc>
          <w:tcPr>
            <w:tcW w:w="2320" w:type="dxa"/>
            <w:vAlign w:val="bottom"/>
          </w:tcPr>
          <w:p>
            <w:pPr>
              <w:spacing w:after="0"/>
              <w:rPr>
                <w:sz w:val="15"/>
                <w:szCs w:val="15"/>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color w:val="auto"/>
              </w:rPr>
              <w:t>Corporation</w:t>
            </w:r>
          </w:p>
        </w:tc>
        <w:tc>
          <w:tcPr>
            <w:tcW w:w="1040" w:type="dxa"/>
            <w:vAlign w:val="bottom"/>
            <w:gridSpan w:val="2"/>
          </w:tcPr>
          <w:p>
            <w:pPr>
              <w:jc w:val="right"/>
              <w:ind w:right="400"/>
              <w:spacing w:after="0"/>
              <w:rPr>
                <w:sz w:val="20"/>
                <w:szCs w:val="20"/>
                <w:color w:val="auto"/>
              </w:rPr>
            </w:pPr>
            <w:r>
              <w:rPr>
                <w:rFonts w:ascii="Arial" w:cs="Arial" w:eastAsia="Arial" w:hAnsi="Arial"/>
                <w:sz w:val="16"/>
                <w:szCs w:val="16"/>
                <w:color w:val="auto"/>
                <w:w w:val="99"/>
              </w:rPr>
              <w:t>VW/Audi</w:t>
            </w:r>
          </w:p>
        </w:tc>
        <w:tc>
          <w:tcPr>
            <w:tcW w:w="1020" w:type="dxa"/>
            <w:vAlign w:val="bottom"/>
            <w:gridSpan w:val="2"/>
          </w:tcPr>
          <w:p>
            <w:pPr>
              <w:jc w:val="right"/>
              <w:ind w:right="460"/>
              <w:spacing w:after="0"/>
              <w:rPr>
                <w:sz w:val="20"/>
                <w:szCs w:val="20"/>
                <w:color w:val="auto"/>
              </w:rPr>
            </w:pPr>
            <w:r>
              <w:rPr>
                <w:rFonts w:ascii="Arial" w:cs="Arial" w:eastAsia="Arial" w:hAnsi="Arial"/>
                <w:sz w:val="16"/>
                <w:szCs w:val="16"/>
                <w:color w:val="auto"/>
              </w:rPr>
              <w:t>Motors</w:t>
            </w:r>
          </w:p>
        </w:tc>
        <w:tc>
          <w:tcPr>
            <w:tcW w:w="1040" w:type="dxa"/>
            <w:vAlign w:val="bottom"/>
            <w:gridSpan w:val="2"/>
          </w:tcPr>
          <w:p>
            <w:pPr>
              <w:jc w:val="right"/>
              <w:ind w:right="580"/>
              <w:spacing w:after="0"/>
              <w:rPr>
                <w:sz w:val="20"/>
                <w:szCs w:val="20"/>
                <w:color w:val="auto"/>
              </w:rPr>
            </w:pPr>
            <w:r>
              <w:rPr>
                <w:rFonts w:ascii="Arial" w:cs="Arial" w:eastAsia="Arial" w:hAnsi="Arial"/>
                <w:sz w:val="16"/>
                <w:szCs w:val="16"/>
                <w:color w:val="auto"/>
              </w:rPr>
              <w:t>AG</w:t>
            </w:r>
          </w:p>
        </w:tc>
        <w:tc>
          <w:tcPr>
            <w:tcW w:w="1000" w:type="dxa"/>
            <w:vAlign w:val="bottom"/>
            <w:gridSpan w:val="2"/>
          </w:tcPr>
          <w:p>
            <w:pPr>
              <w:jc w:val="right"/>
              <w:ind w:right="480"/>
              <w:spacing w:after="0"/>
              <w:rPr>
                <w:sz w:val="20"/>
                <w:szCs w:val="20"/>
                <w:color w:val="auto"/>
              </w:rPr>
            </w:pPr>
            <w:r>
              <w:rPr>
                <w:rFonts w:ascii="Arial" w:cs="Arial" w:eastAsia="Arial" w:hAnsi="Arial"/>
                <w:sz w:val="16"/>
                <w:szCs w:val="16"/>
                <w:color w:val="auto"/>
              </w:rPr>
              <w:t>BMW</w:t>
            </w:r>
          </w:p>
        </w:tc>
        <w:tc>
          <w:tcPr>
            <w:tcW w:w="780" w:type="dxa"/>
            <w:vAlign w:val="bottom"/>
            <w:gridSpan w:val="2"/>
          </w:tcPr>
          <w:p>
            <w:pPr>
              <w:jc w:val="right"/>
              <w:ind w:right="280"/>
              <w:spacing w:after="0"/>
              <w:rPr>
                <w:sz w:val="20"/>
                <w:szCs w:val="20"/>
                <w:color w:val="auto"/>
              </w:rPr>
            </w:pPr>
            <w:r>
              <w:rPr>
                <w:rFonts w:ascii="Arial" w:cs="Arial" w:eastAsia="Arial" w:hAnsi="Arial"/>
                <w:sz w:val="16"/>
                <w:szCs w:val="16"/>
                <w:color w:val="auto"/>
              </w:rPr>
              <w:t>Ford</w:t>
            </w:r>
          </w:p>
        </w:tc>
      </w:tr>
      <w:tr>
        <w:trPr>
          <w:trHeight w:val="20"/>
        </w:trPr>
        <w:tc>
          <w:tcPr>
            <w:tcW w:w="2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74"/>
        </w:trPr>
        <w:tc>
          <w:tcPr>
            <w:tcW w:w="2320" w:type="dxa"/>
            <w:vAlign w:val="bottom"/>
            <w:shd w:val="clear" w:color="auto" w:fill="CCEEFF"/>
          </w:tcPr>
          <w:p>
            <w:pPr>
              <w:jc w:val="right"/>
              <w:ind w:right="1859"/>
              <w:spacing w:after="0" w:line="175" w:lineRule="exact"/>
              <w:rPr>
                <w:sz w:val="20"/>
                <w:szCs w:val="20"/>
                <w:color w:val="auto"/>
              </w:rPr>
            </w:pPr>
            <w:r>
              <w:rPr>
                <w:rFonts w:ascii="Arial" w:cs="Arial" w:eastAsia="Arial" w:hAnsi="Arial"/>
                <w:sz w:val="16"/>
                <w:szCs w:val="16"/>
                <w:color w:val="auto"/>
              </w:rPr>
              <w:t>2009</w:t>
            </w:r>
          </w:p>
        </w:tc>
        <w:tc>
          <w:tcPr>
            <w:tcW w:w="1200" w:type="dxa"/>
            <w:vAlign w:val="bottom"/>
            <w:gridSpan w:val="2"/>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17%</w:t>
            </w:r>
          </w:p>
        </w:tc>
        <w:tc>
          <w:tcPr>
            <w:tcW w:w="1040" w:type="dxa"/>
            <w:vAlign w:val="bottom"/>
            <w:gridSpan w:val="2"/>
            <w:shd w:val="clear" w:color="auto" w:fill="CCEEFF"/>
          </w:tcPr>
          <w:p>
            <w:pPr>
              <w:jc w:val="right"/>
              <w:ind w:right="240"/>
              <w:spacing w:after="0" w:line="175" w:lineRule="exact"/>
              <w:rPr>
                <w:sz w:val="20"/>
                <w:szCs w:val="20"/>
                <w:color w:val="auto"/>
              </w:rPr>
            </w:pPr>
            <w:r>
              <w:rPr>
                <w:rFonts w:ascii="Arial" w:cs="Arial" w:eastAsia="Arial" w:hAnsi="Arial"/>
                <w:sz w:val="16"/>
                <w:szCs w:val="16"/>
                <w:color w:val="auto"/>
              </w:rPr>
              <w:t>13%</w:t>
            </w:r>
          </w:p>
        </w:tc>
        <w:tc>
          <w:tcPr>
            <w:tcW w:w="1020" w:type="dxa"/>
            <w:vAlign w:val="bottom"/>
            <w:gridSpan w:val="2"/>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13%</w:t>
            </w:r>
          </w:p>
        </w:tc>
        <w:tc>
          <w:tcPr>
            <w:tcW w:w="1040" w:type="dxa"/>
            <w:vAlign w:val="bottom"/>
            <w:gridSpan w:val="2"/>
            <w:shd w:val="clear" w:color="auto" w:fill="CCEEFF"/>
          </w:tcPr>
          <w:p>
            <w:pPr>
              <w:jc w:val="right"/>
              <w:ind w:right="240"/>
              <w:spacing w:after="0" w:line="175" w:lineRule="exact"/>
              <w:rPr>
                <w:sz w:val="20"/>
                <w:szCs w:val="20"/>
                <w:color w:val="auto"/>
              </w:rPr>
            </w:pPr>
            <w:r>
              <w:rPr>
                <w:rFonts w:ascii="Arial" w:cs="Arial" w:eastAsia="Arial" w:hAnsi="Arial"/>
                <w:sz w:val="16"/>
                <w:szCs w:val="16"/>
                <w:color w:val="auto"/>
              </w:rPr>
              <w:t>12%</w:t>
            </w:r>
          </w:p>
        </w:tc>
        <w:tc>
          <w:tcPr>
            <w:tcW w:w="1000" w:type="dxa"/>
            <w:vAlign w:val="bottom"/>
            <w:gridSpan w:val="2"/>
            <w:shd w:val="clear" w:color="auto" w:fill="CCEEFF"/>
          </w:tcPr>
          <w:p>
            <w:pPr>
              <w:jc w:val="right"/>
              <w:ind w:right="220"/>
              <w:spacing w:after="0" w:line="175" w:lineRule="exact"/>
              <w:rPr>
                <w:sz w:val="20"/>
                <w:szCs w:val="20"/>
                <w:color w:val="auto"/>
              </w:rPr>
            </w:pPr>
            <w:r>
              <w:rPr>
                <w:rFonts w:ascii="Arial" w:cs="Arial" w:eastAsia="Arial" w:hAnsi="Arial"/>
                <w:sz w:val="16"/>
                <w:szCs w:val="16"/>
                <w:color w:val="auto"/>
              </w:rPr>
              <w:t>10%</w:t>
            </w:r>
          </w:p>
        </w:tc>
        <w:tc>
          <w:tcPr>
            <w:tcW w:w="780" w:type="dxa"/>
            <w:vAlign w:val="bottom"/>
            <w:gridSpan w:val="2"/>
            <w:shd w:val="clear" w:color="auto" w:fill="CCEEFF"/>
          </w:tcPr>
          <w:p>
            <w:pPr>
              <w:jc w:val="right"/>
              <w:spacing w:after="0" w:line="175" w:lineRule="exact"/>
              <w:rPr>
                <w:sz w:val="20"/>
                <w:szCs w:val="20"/>
                <w:color w:val="auto"/>
              </w:rPr>
            </w:pPr>
            <w:r>
              <w:rPr>
                <w:rFonts w:ascii="Arial" w:cs="Arial" w:eastAsia="Arial" w:hAnsi="Arial"/>
                <w:sz w:val="16"/>
                <w:szCs w:val="16"/>
                <w:color w:val="auto"/>
              </w:rPr>
              <w:t>10%</w:t>
            </w:r>
          </w:p>
        </w:tc>
      </w:tr>
      <w:tr>
        <w:trPr>
          <w:trHeight w:val="182"/>
        </w:trPr>
        <w:tc>
          <w:tcPr>
            <w:tcW w:w="2320" w:type="dxa"/>
            <w:vAlign w:val="bottom"/>
          </w:tcPr>
          <w:p>
            <w:pPr>
              <w:jc w:val="right"/>
              <w:ind w:right="1859"/>
              <w:spacing w:after="0" w:line="182" w:lineRule="exact"/>
              <w:rPr>
                <w:sz w:val="20"/>
                <w:szCs w:val="20"/>
                <w:color w:val="auto"/>
              </w:rPr>
            </w:pPr>
            <w:r>
              <w:rPr>
                <w:rFonts w:ascii="Arial" w:cs="Arial" w:eastAsia="Arial" w:hAnsi="Arial"/>
                <w:sz w:val="16"/>
                <w:szCs w:val="16"/>
                <w:color w:val="auto"/>
              </w:rPr>
              <w:t>2008</w:t>
            </w:r>
          </w:p>
        </w:tc>
        <w:tc>
          <w:tcPr>
            <w:tcW w:w="1200" w:type="dxa"/>
            <w:vAlign w:val="bottom"/>
            <w:gridSpan w:val="2"/>
          </w:tcPr>
          <w:p>
            <w:pPr>
              <w:jc w:val="right"/>
              <w:ind w:right="220"/>
              <w:spacing w:after="0" w:line="182" w:lineRule="exact"/>
              <w:rPr>
                <w:sz w:val="20"/>
                <w:szCs w:val="20"/>
                <w:color w:val="auto"/>
              </w:rPr>
            </w:pPr>
            <w:r>
              <w:rPr>
                <w:rFonts w:ascii="Arial" w:cs="Arial" w:eastAsia="Arial" w:hAnsi="Arial"/>
                <w:sz w:val="16"/>
                <w:szCs w:val="16"/>
                <w:color w:val="auto"/>
              </w:rPr>
              <w:t>14%</w:t>
            </w:r>
          </w:p>
        </w:tc>
        <w:tc>
          <w:tcPr>
            <w:tcW w:w="104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13%</w:t>
            </w:r>
          </w:p>
        </w:tc>
        <w:tc>
          <w:tcPr>
            <w:tcW w:w="1020" w:type="dxa"/>
            <w:vAlign w:val="bottom"/>
            <w:gridSpan w:val="2"/>
          </w:tcPr>
          <w:p>
            <w:pPr>
              <w:jc w:val="right"/>
              <w:ind w:right="220"/>
              <w:spacing w:after="0" w:line="182" w:lineRule="exact"/>
              <w:rPr>
                <w:sz w:val="20"/>
                <w:szCs w:val="20"/>
                <w:color w:val="auto"/>
              </w:rPr>
            </w:pPr>
            <w:r>
              <w:rPr>
                <w:rFonts w:ascii="Arial" w:cs="Arial" w:eastAsia="Arial" w:hAnsi="Arial"/>
                <w:sz w:val="16"/>
                <w:szCs w:val="16"/>
                <w:color w:val="auto"/>
              </w:rPr>
              <w:t>14%</w:t>
            </w:r>
          </w:p>
        </w:tc>
        <w:tc>
          <w:tcPr>
            <w:tcW w:w="1040" w:type="dxa"/>
            <w:vAlign w:val="bottom"/>
            <w:gridSpan w:val="2"/>
          </w:tcPr>
          <w:p>
            <w:pPr>
              <w:jc w:val="right"/>
              <w:ind w:right="240"/>
              <w:spacing w:after="0" w:line="182" w:lineRule="exact"/>
              <w:rPr>
                <w:sz w:val="20"/>
                <w:szCs w:val="20"/>
                <w:color w:val="auto"/>
              </w:rPr>
            </w:pPr>
            <w:r>
              <w:rPr>
                <w:rFonts w:ascii="Arial" w:cs="Arial" w:eastAsia="Arial" w:hAnsi="Arial"/>
                <w:sz w:val="16"/>
                <w:szCs w:val="16"/>
                <w:color w:val="auto"/>
              </w:rPr>
              <w:t>14%</w:t>
            </w:r>
          </w:p>
        </w:tc>
        <w:tc>
          <w:tcPr>
            <w:tcW w:w="1000" w:type="dxa"/>
            <w:vAlign w:val="bottom"/>
            <w:gridSpan w:val="2"/>
          </w:tcPr>
          <w:p>
            <w:pPr>
              <w:jc w:val="right"/>
              <w:ind w:right="220"/>
              <w:spacing w:after="0" w:line="182" w:lineRule="exact"/>
              <w:rPr>
                <w:sz w:val="20"/>
                <w:szCs w:val="20"/>
                <w:color w:val="auto"/>
              </w:rPr>
            </w:pPr>
            <w:r>
              <w:rPr>
                <w:rFonts w:ascii="Arial" w:cs="Arial" w:eastAsia="Arial" w:hAnsi="Arial"/>
                <w:sz w:val="16"/>
                <w:szCs w:val="16"/>
                <w:color w:val="auto"/>
              </w:rPr>
              <w:t>11%</w:t>
            </w:r>
          </w:p>
        </w:tc>
        <w:tc>
          <w:tcPr>
            <w:tcW w:w="780" w:type="dxa"/>
            <w:vAlign w:val="bottom"/>
            <w:gridSpan w:val="2"/>
          </w:tcPr>
          <w:p>
            <w:pPr>
              <w:jc w:val="right"/>
              <w:ind w:right="140"/>
              <w:spacing w:after="0" w:line="182" w:lineRule="exact"/>
              <w:rPr>
                <w:sz w:val="20"/>
                <w:szCs w:val="20"/>
                <w:color w:val="auto"/>
              </w:rPr>
            </w:pPr>
            <w:r>
              <w:rPr>
                <w:rFonts w:ascii="Arial" w:cs="Arial" w:eastAsia="Arial" w:hAnsi="Arial"/>
                <w:sz w:val="16"/>
                <w:szCs w:val="16"/>
                <w:color w:val="auto"/>
              </w:rPr>
              <w:t>#</w:t>
            </w:r>
          </w:p>
        </w:tc>
      </w:tr>
      <w:tr>
        <w:trPr>
          <w:trHeight w:val="182"/>
        </w:trPr>
        <w:tc>
          <w:tcPr>
            <w:tcW w:w="2320" w:type="dxa"/>
            <w:vAlign w:val="bottom"/>
            <w:shd w:val="clear" w:color="auto" w:fill="CCEEFF"/>
          </w:tcPr>
          <w:p>
            <w:pPr>
              <w:jc w:val="right"/>
              <w:ind w:right="1859"/>
              <w:spacing w:after="0" w:line="182" w:lineRule="exact"/>
              <w:rPr>
                <w:sz w:val="20"/>
                <w:szCs w:val="20"/>
                <w:color w:val="auto"/>
              </w:rPr>
            </w:pPr>
            <w:r>
              <w:rPr>
                <w:rFonts w:ascii="Arial" w:cs="Arial" w:eastAsia="Arial" w:hAnsi="Arial"/>
                <w:sz w:val="16"/>
                <w:szCs w:val="16"/>
                <w:color w:val="auto"/>
              </w:rPr>
              <w:t>2007</w:t>
            </w:r>
          </w:p>
        </w:tc>
        <w:tc>
          <w:tcPr>
            <w:tcW w:w="12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6"/>
                <w:szCs w:val="16"/>
                <w:color w:val="auto"/>
              </w:rPr>
              <w:t>13%</w:t>
            </w:r>
          </w:p>
        </w:tc>
        <w:tc>
          <w:tcPr>
            <w:tcW w:w="104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6"/>
                <w:szCs w:val="16"/>
                <w:color w:val="auto"/>
              </w:rPr>
              <w:t>19%</w:t>
            </w:r>
          </w:p>
        </w:tc>
        <w:tc>
          <w:tcPr>
            <w:tcW w:w="1040" w:type="dxa"/>
            <w:vAlign w:val="bottom"/>
            <w:gridSpan w:val="2"/>
            <w:shd w:val="clear" w:color="auto" w:fill="CCEEFF"/>
          </w:tcPr>
          <w:p>
            <w:pPr>
              <w:jc w:val="right"/>
              <w:ind w:right="240"/>
              <w:spacing w:after="0" w:line="182" w:lineRule="exact"/>
              <w:rPr>
                <w:sz w:val="20"/>
                <w:szCs w:val="20"/>
                <w:color w:val="auto"/>
              </w:rPr>
            </w:pPr>
            <w:r>
              <w:rPr>
                <w:rFonts w:ascii="Arial" w:cs="Arial" w:eastAsia="Arial" w:hAnsi="Arial"/>
                <w:sz w:val="16"/>
                <w:szCs w:val="16"/>
                <w:color w:val="auto"/>
              </w:rPr>
              <w:t>*15%</w:t>
            </w:r>
          </w:p>
        </w:tc>
        <w:tc>
          <w:tcPr>
            <w:tcW w:w="1000" w:type="dxa"/>
            <w:vAlign w:val="bottom"/>
            <w:gridSpan w:val="2"/>
            <w:shd w:val="clear" w:color="auto" w:fill="CCEEFF"/>
          </w:tcPr>
          <w:p>
            <w:pPr>
              <w:jc w:val="right"/>
              <w:ind w:right="220"/>
              <w:spacing w:after="0" w:line="182" w:lineRule="exact"/>
              <w:rPr>
                <w:sz w:val="20"/>
                <w:szCs w:val="20"/>
                <w:color w:val="auto"/>
              </w:rPr>
            </w:pPr>
            <w:r>
              <w:rPr>
                <w:rFonts w:ascii="Arial" w:cs="Arial" w:eastAsia="Arial" w:hAnsi="Arial"/>
                <w:sz w:val="16"/>
                <w:szCs w:val="16"/>
                <w:color w:val="auto"/>
              </w:rPr>
              <w:t>12%</w:t>
            </w:r>
          </w:p>
        </w:tc>
        <w:tc>
          <w:tcPr>
            <w:tcW w:w="780" w:type="dxa"/>
            <w:vAlign w:val="bottom"/>
            <w:gridSpan w:val="2"/>
            <w:shd w:val="clear" w:color="auto" w:fill="CCEEFF"/>
          </w:tcPr>
          <w:p>
            <w:pPr>
              <w:jc w:val="right"/>
              <w:ind w:right="140"/>
              <w:spacing w:after="0" w:line="182" w:lineRule="exact"/>
              <w:rPr>
                <w:sz w:val="20"/>
                <w:szCs w:val="20"/>
                <w:color w:val="auto"/>
              </w:rPr>
            </w:pPr>
            <w:r>
              <w:rPr>
                <w:rFonts w:ascii="Arial" w:cs="Arial" w:eastAsia="Arial" w:hAnsi="Arial"/>
                <w:sz w:val="16"/>
                <w:szCs w:val="16"/>
                <w:color w:val="auto"/>
              </w:rPr>
              <w:t>#</w:t>
            </w:r>
          </w:p>
        </w:tc>
      </w:tr>
    </w:tbl>
    <w:p>
      <w:pPr>
        <w:spacing w:after="0" w:line="109" w:lineRule="exact"/>
        <w:rPr>
          <w:sz w:val="20"/>
          <w:szCs w:val="20"/>
          <w:color w:val="auto"/>
        </w:rPr>
      </w:pPr>
    </w:p>
    <w:p>
      <w:pPr>
        <w:ind w:left="600" w:hanging="311"/>
        <w:spacing w:after="0"/>
        <w:tabs>
          <w:tab w:leader="none" w:pos="6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Chrysler through the date of sale.</w:t>
      </w:r>
    </w:p>
    <w:p>
      <w:pPr>
        <w:spacing w:after="0" w:line="59" w:lineRule="exact"/>
        <w:rPr>
          <w:rFonts w:ascii="Arial" w:cs="Arial" w:eastAsia="Arial" w:hAnsi="Arial"/>
          <w:sz w:val="16"/>
          <w:szCs w:val="16"/>
          <w:color w:val="auto"/>
        </w:rPr>
      </w:pPr>
    </w:p>
    <w:p>
      <w:pPr>
        <w:ind w:left="280"/>
        <w:spacing w:after="0"/>
        <w:rPr>
          <w:rFonts w:ascii="Arial" w:cs="Arial" w:eastAsia="Arial" w:hAnsi="Arial"/>
          <w:sz w:val="16"/>
          <w:szCs w:val="16"/>
          <w:color w:val="auto"/>
        </w:rPr>
      </w:pPr>
      <w:r>
        <w:rPr>
          <w:rFonts w:ascii="Arial" w:cs="Arial" w:eastAsia="Arial" w:hAnsi="Arial"/>
          <w:sz w:val="16"/>
          <w:szCs w:val="16"/>
          <w:color w:val="auto"/>
        </w:rPr>
        <w:t>#   Less than 10%.</w:t>
      </w:r>
    </w:p>
    <w:p>
      <w:pPr>
        <w:spacing w:after="0" w:line="200" w:lineRule="exact"/>
        <w:rPr>
          <w:sz w:val="20"/>
          <w:szCs w:val="20"/>
          <w:color w:val="auto"/>
        </w:rPr>
      </w:pPr>
    </w:p>
    <w:p>
      <w:pPr>
        <w:spacing w:after="0" w:line="30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73" w:lineRule="exact"/>
        <w:rPr>
          <w:sz w:val="20"/>
          <w:szCs w:val="20"/>
          <w:color w:val="auto"/>
        </w:rPr>
      </w:pPr>
    </w:p>
    <w:p>
      <w:pPr>
        <w:jc w:val="center"/>
        <w:ind w:right="1239"/>
        <w:spacing w:after="0"/>
        <w:rPr>
          <w:sz w:val="20"/>
          <w:szCs w:val="20"/>
          <w:color w:val="auto"/>
        </w:rPr>
      </w:pPr>
      <w:r>
        <w:rPr>
          <w:rFonts w:ascii="Arial" w:cs="Arial" w:eastAsia="Arial" w:hAnsi="Arial"/>
          <w:sz w:val="16"/>
          <w:szCs w:val="16"/>
          <w:b w:val="1"/>
          <w:bCs w:val="1"/>
          <w:u w:val="single" w:color="auto"/>
          <w:color w:val="auto"/>
        </w:rPr>
        <w:t>EXHIBIT INDEX</w:t>
      </w:r>
    </w:p>
    <w:p>
      <w:pPr>
        <w:spacing w:after="0" w:line="181" w:lineRule="exact"/>
        <w:rPr>
          <w:sz w:val="20"/>
          <w:szCs w:val="20"/>
          <w:color w:val="auto"/>
        </w:rPr>
      </w:pPr>
    </w:p>
    <w:p>
      <w:pPr>
        <w:ind w:left="380"/>
        <w:spacing w:after="0"/>
        <w:tabs>
          <w:tab w:leader="none" w:pos="4020" w:val="left"/>
          <w:tab w:leader="none" w:pos="7960" w:val="left"/>
        </w:tabs>
        <w:rPr>
          <w:sz w:val="20"/>
          <w:szCs w:val="20"/>
          <w:color w:val="auto"/>
        </w:rPr>
      </w:pPr>
      <w:r>
        <w:rPr>
          <w:rFonts w:ascii="Arial" w:cs="Arial" w:eastAsia="Arial" w:hAnsi="Arial"/>
          <w:sz w:val="16"/>
          <w:szCs w:val="16"/>
          <w:b w:val="1"/>
          <w:bCs w:val="1"/>
          <w:color w:val="auto"/>
        </w:rPr>
        <w:t>EXHIBIT NO.</w:t>
      </w:r>
      <w:r>
        <w:rPr>
          <w:sz w:val="20"/>
          <w:szCs w:val="20"/>
          <w:color w:val="auto"/>
        </w:rPr>
        <w:tab/>
      </w:r>
      <w:r>
        <w:rPr>
          <w:rFonts w:ascii="Arial" w:cs="Arial" w:eastAsia="Arial" w:hAnsi="Arial"/>
          <w:sz w:val="16"/>
          <w:szCs w:val="16"/>
          <w:b w:val="1"/>
          <w:bCs w:val="1"/>
          <w:color w:val="auto"/>
        </w:rPr>
        <w:t>DESCRIPTION</w:t>
      </w:r>
      <w:r>
        <w:rPr>
          <w:sz w:val="20"/>
          <w:szCs w:val="20"/>
          <w:color w:val="auto"/>
        </w:rPr>
        <w:tab/>
      </w:r>
      <w:r>
        <w:rPr>
          <w:rFonts w:ascii="Arial" w:cs="Arial" w:eastAsia="Arial" w:hAnsi="Arial"/>
          <w:sz w:val="16"/>
          <w:szCs w:val="16"/>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12065</wp:posOffset>
            </wp:positionV>
            <wp:extent cx="533146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31460" cy="7620"/>
                    </a:xfrm>
                    <a:prstGeom prst="rect">
                      <a:avLst/>
                    </a:prstGeom>
                    <a:noFill/>
                  </pic:spPr>
                </pic:pic>
              </a:graphicData>
            </a:graphic>
          </wp:anchor>
        </w:drawing>
      </w:r>
    </w:p>
    <w:p>
      <w:pPr>
        <w:spacing w:after="0" w:line="193" w:lineRule="exact"/>
        <w:rPr>
          <w:sz w:val="20"/>
          <w:szCs w:val="20"/>
          <w:color w:val="auto"/>
        </w:rPr>
      </w:pPr>
    </w:p>
    <w:p>
      <w:pPr>
        <w:ind w:left="1680" w:right="2999" w:hanging="782"/>
        <w:spacing w:after="0" w:line="244" w:lineRule="auto"/>
        <w:tabs>
          <w:tab w:leader="none" w:pos="1660" w:val="left"/>
        </w:tabs>
        <w:rPr>
          <w:sz w:val="20"/>
          <w:szCs w:val="20"/>
          <w:color w:val="auto"/>
        </w:rPr>
      </w:pPr>
      <w:r>
        <w:rPr>
          <w:rFonts w:ascii="Arial" w:cs="Arial" w:eastAsia="Arial" w:hAnsi="Arial"/>
          <w:sz w:val="16"/>
          <w:szCs w:val="16"/>
          <w:color w:val="auto"/>
        </w:rPr>
        <w:t>3(a)(1)</w:t>
      </w:r>
      <w:r>
        <w:rPr>
          <w:sz w:val="20"/>
          <w:szCs w:val="20"/>
          <w:color w:val="auto"/>
        </w:rPr>
        <w:tab/>
      </w:r>
      <w:r>
        <w:rPr>
          <w:rFonts w:ascii="Arial" w:cs="Arial" w:eastAsia="Arial" w:hAnsi="Arial"/>
          <w:sz w:val="16"/>
          <w:szCs w:val="16"/>
          <w:color w:val="auto"/>
        </w:rPr>
        <w:t>Registrant’s Restated Articles of Incorporation, adopted on August 20, 2004, were filed as Exhibit 3(a) to Registrant’s Report on Form 10-Q dated November 2, 2004, and the same is hereby incorporated herein by reference.</w:t>
      </w:r>
    </w:p>
    <w:p>
      <w:pPr>
        <w:spacing w:after="0" w:line="168" w:lineRule="exact"/>
        <w:rPr>
          <w:sz w:val="20"/>
          <w:szCs w:val="20"/>
          <w:color w:val="auto"/>
        </w:rPr>
      </w:pPr>
    </w:p>
    <w:p>
      <w:pPr>
        <w:jc w:val="both"/>
        <w:ind w:left="1680" w:right="2899" w:hanging="782"/>
        <w:spacing w:after="0" w:line="244" w:lineRule="auto"/>
        <w:tabs>
          <w:tab w:leader="none" w:pos="1660" w:val="left"/>
        </w:tabs>
        <w:rPr>
          <w:sz w:val="20"/>
          <w:szCs w:val="20"/>
          <w:color w:val="auto"/>
        </w:rPr>
      </w:pPr>
      <w:r>
        <w:rPr>
          <w:rFonts w:ascii="Arial" w:cs="Arial" w:eastAsia="Arial" w:hAnsi="Arial"/>
          <w:sz w:val="16"/>
          <w:szCs w:val="16"/>
          <w:color w:val="auto"/>
        </w:rPr>
        <w:t>3(b)(1)</w:t>
      </w:r>
      <w:r>
        <w:rPr>
          <w:sz w:val="20"/>
          <w:szCs w:val="20"/>
          <w:color w:val="auto"/>
        </w:rPr>
        <w:tab/>
      </w:r>
      <w:r>
        <w:rPr>
          <w:rFonts w:ascii="Arial" w:cs="Arial" w:eastAsia="Arial" w:hAnsi="Arial"/>
          <w:sz w:val="16"/>
          <w:szCs w:val="16"/>
          <w:color w:val="auto"/>
        </w:rPr>
        <w:t>Registrant’s Bylaws as amended and restated February 27, 2003, was filed as Exhibit 3(b)(1) to Registrant’s report on Form 10-Q dated May 5, 2003, and the same is hereby incorporated herein by reference.</w:t>
      </w:r>
    </w:p>
    <w:p>
      <w:pPr>
        <w:spacing w:after="0" w:line="168" w:lineRule="exact"/>
        <w:rPr>
          <w:sz w:val="20"/>
          <w:szCs w:val="20"/>
          <w:color w:val="auto"/>
        </w:rPr>
      </w:pPr>
    </w:p>
    <w:p>
      <w:pPr>
        <w:ind w:left="1680" w:right="2799" w:hanging="779"/>
        <w:spacing w:after="0" w:line="241" w:lineRule="auto"/>
        <w:tabs>
          <w:tab w:leader="none" w:pos="1660" w:val="left"/>
        </w:tabs>
        <w:rPr>
          <w:sz w:val="20"/>
          <w:szCs w:val="20"/>
          <w:color w:val="auto"/>
        </w:rPr>
      </w:pPr>
      <w:r>
        <w:rPr>
          <w:rFonts w:ascii="Arial" w:cs="Arial" w:eastAsia="Arial" w:hAnsi="Arial"/>
          <w:sz w:val="16"/>
          <w:szCs w:val="16"/>
          <w:color w:val="auto"/>
        </w:rPr>
        <w:t>4(a)</w:t>
      </w:r>
      <w:r>
        <w:rPr>
          <w:sz w:val="20"/>
          <w:szCs w:val="20"/>
          <w:color w:val="auto"/>
        </w:rPr>
        <w:tab/>
      </w:r>
      <w:r>
        <w:rPr>
          <w:rFonts w:ascii="Arial" w:cs="Arial" w:eastAsia="Arial" w:hAnsi="Arial"/>
          <w:sz w:val="16"/>
          <w:szCs w:val="16"/>
          <w:color w:val="auto"/>
        </w:rPr>
        <w:t>A specimen form of certificate for the Registrant’s common stock, par value $.06 per share, was filed as part of a Registration Statement (Registration Number 2-74226C) as Exhibit 3(a), as amended by Amendment No. 3 to such Registration Statement, and the same is hereby incorporated herein by reference.</w:t>
      </w:r>
    </w:p>
    <w:p>
      <w:pPr>
        <w:spacing w:after="0" w:line="355" w:lineRule="exact"/>
        <w:rPr>
          <w:sz w:val="20"/>
          <w:szCs w:val="20"/>
          <w:color w:val="auto"/>
        </w:rPr>
      </w:pPr>
    </w:p>
    <w:p>
      <w:pPr>
        <w:ind w:left="1680" w:right="2739" w:hanging="779"/>
        <w:spacing w:after="0"/>
        <w:tabs>
          <w:tab w:leader="none" w:pos="1660" w:val="left"/>
        </w:tabs>
        <w:rPr>
          <w:sz w:val="20"/>
          <w:szCs w:val="20"/>
          <w:color w:val="auto"/>
        </w:rPr>
      </w:pPr>
      <w:r>
        <w:rPr>
          <w:rFonts w:ascii="Arial" w:cs="Arial" w:eastAsia="Arial" w:hAnsi="Arial"/>
          <w:sz w:val="16"/>
          <w:szCs w:val="16"/>
          <w:color w:val="auto"/>
        </w:rPr>
        <w:t>4(b)</w:t>
      </w:r>
      <w:r>
        <w:rPr>
          <w:sz w:val="20"/>
          <w:szCs w:val="20"/>
          <w:color w:val="auto"/>
        </w:rPr>
        <w:tab/>
      </w:r>
      <w:r>
        <w:rPr>
          <w:rFonts w:ascii="Arial" w:cs="Arial" w:eastAsia="Arial" w:hAnsi="Arial"/>
          <w:sz w:val="16"/>
          <w:szCs w:val="16"/>
          <w:color w:val="auto"/>
        </w:rPr>
        <w:t>Amended and Restated Shareholder Protection Rights Agreement, dated as of March 29, 2001, including as Exhibit A the form of Certificate of Adoption of Resolution Establishing Series of Shares of Junior Participating Preferred Stock of the Company, and as Exhibit B the form of Rights Certificate and of Election to Exercise, was filed as Exhibit 4(b) to Registrant’s Report on Form 10-Q on April 27, 2001, and the same is hereby incorporated herein by reference.</w:t>
      </w:r>
    </w:p>
    <w:p>
      <w:pPr>
        <w:spacing w:after="0" w:line="172" w:lineRule="exact"/>
        <w:rPr>
          <w:sz w:val="20"/>
          <w:szCs w:val="20"/>
          <w:color w:val="auto"/>
        </w:rPr>
      </w:pPr>
    </w:p>
    <w:p>
      <w:pPr>
        <w:ind w:left="1680" w:right="2959" w:hanging="859"/>
        <w:spacing w:after="0" w:line="244" w:lineRule="auto"/>
        <w:tabs>
          <w:tab w:leader="none" w:pos="1660" w:val="left"/>
        </w:tabs>
        <w:rPr>
          <w:sz w:val="20"/>
          <w:szCs w:val="20"/>
          <w:color w:val="auto"/>
        </w:rPr>
      </w:pPr>
      <w:r>
        <w:rPr>
          <w:rFonts w:ascii="Arial" w:cs="Arial" w:eastAsia="Arial" w:hAnsi="Arial"/>
          <w:sz w:val="16"/>
          <w:szCs w:val="16"/>
          <w:color w:val="auto"/>
        </w:rPr>
        <w:t>10(a)(1)</w:t>
      </w:r>
      <w:r>
        <w:rPr>
          <w:sz w:val="20"/>
          <w:szCs w:val="20"/>
          <w:color w:val="auto"/>
        </w:rPr>
        <w:tab/>
      </w:r>
      <w:r>
        <w:rPr>
          <w:rFonts w:ascii="Arial" w:cs="Arial" w:eastAsia="Arial" w:hAnsi="Arial"/>
          <w:sz w:val="16"/>
          <w:szCs w:val="16"/>
          <w:color w:val="auto"/>
        </w:rPr>
        <w:t>A Lease, dated August 15, 1981, was filed as part of a Registration Statement (Registration Number 2-74226C) as Exhibit 9(a)(1), and the same is hereby incorporated herein by reference.</w:t>
      </w:r>
    </w:p>
    <w:p>
      <w:pPr>
        <w:spacing w:after="0" w:line="168" w:lineRule="exact"/>
        <w:rPr>
          <w:sz w:val="20"/>
          <w:szCs w:val="20"/>
          <w:color w:val="auto"/>
        </w:rPr>
      </w:pPr>
    </w:p>
    <w:p>
      <w:pPr>
        <w:ind w:left="1680" w:right="2799" w:hanging="859"/>
        <w:spacing w:after="0" w:line="244" w:lineRule="auto"/>
        <w:tabs>
          <w:tab w:leader="none" w:pos="1660" w:val="left"/>
        </w:tabs>
        <w:rPr>
          <w:sz w:val="20"/>
          <w:szCs w:val="20"/>
          <w:color w:val="auto"/>
        </w:rPr>
      </w:pPr>
      <w:r>
        <w:rPr>
          <w:rFonts w:ascii="Arial" w:cs="Arial" w:eastAsia="Arial" w:hAnsi="Arial"/>
          <w:sz w:val="16"/>
          <w:szCs w:val="16"/>
          <w:color w:val="auto"/>
        </w:rPr>
        <w:t>10(a)(2)</w:t>
      </w:r>
      <w:r>
        <w:rPr>
          <w:sz w:val="20"/>
          <w:szCs w:val="20"/>
          <w:color w:val="auto"/>
        </w:rPr>
        <w:tab/>
      </w:r>
      <w:r>
        <w:rPr>
          <w:rFonts w:ascii="Arial" w:cs="Arial" w:eastAsia="Arial" w:hAnsi="Arial"/>
          <w:sz w:val="16"/>
          <w:szCs w:val="16"/>
          <w:color w:val="auto"/>
        </w:rPr>
        <w:t>A First Amendment to Lease, dated June 28, 1985, was filed as Exhibit 10(m) to Registrant’s Report on Form 10-K dated March 18, 1986, and the same is hereby incorporated herein by reference.</w:t>
      </w:r>
    </w:p>
    <w:p>
      <w:pPr>
        <w:spacing w:after="0" w:line="168" w:lineRule="exact"/>
        <w:rPr>
          <w:sz w:val="20"/>
          <w:szCs w:val="20"/>
          <w:color w:val="auto"/>
        </w:rPr>
      </w:pPr>
    </w:p>
    <w:p>
      <w:pPr>
        <w:ind w:left="1680" w:right="2759" w:hanging="919"/>
        <w:spacing w:after="0" w:line="239" w:lineRule="auto"/>
        <w:tabs>
          <w:tab w:leader="none" w:pos="1660" w:val="left"/>
        </w:tabs>
        <w:rPr>
          <w:sz w:val="20"/>
          <w:szCs w:val="20"/>
          <w:color w:val="auto"/>
        </w:rPr>
      </w:pPr>
      <w:r>
        <w:rPr>
          <w:rFonts w:ascii="Arial" w:cs="Arial" w:eastAsia="Arial" w:hAnsi="Arial"/>
          <w:sz w:val="16"/>
          <w:szCs w:val="16"/>
          <w:color w:val="auto"/>
        </w:rPr>
        <w:t>*10(b)(1)</w:t>
      </w:r>
      <w:r>
        <w:rPr>
          <w:sz w:val="20"/>
          <w:szCs w:val="20"/>
          <w:color w:val="auto"/>
        </w:rPr>
        <w:tab/>
      </w:r>
      <w:r>
        <w:rPr>
          <w:rFonts w:ascii="Arial" w:cs="Arial" w:eastAsia="Arial" w:hAnsi="Arial"/>
          <w:sz w:val="16"/>
          <w:szCs w:val="16"/>
          <w:color w:val="auto"/>
        </w:rPr>
        <w:t>Gentex Corporation Qualified Stock Option Plan (as amended and restated, effective February 26, 2004) was included in Registrant’s Proxy Statement dated April 6, 2004, filed with the Commission on April 6, 2004, and the same is hereby incorporated herein by reference, and the same became the Gentex Corporation Employee Stock Option Plan and was amended as of March 4, 2005 by the First Amendment to the Gentex Corporation Qualified Stock Option Plan, which amendment was included in the Registrant’s Proxy Statement dated April 1, 2005, filed with the Commission on April 1, 2005, and the same is incorporated herein by reference.</w:t>
      </w:r>
    </w:p>
    <w:p>
      <w:pPr>
        <w:spacing w:after="0" w:line="174" w:lineRule="exact"/>
        <w:rPr>
          <w:sz w:val="20"/>
          <w:szCs w:val="20"/>
          <w:color w:val="auto"/>
        </w:rPr>
      </w:pPr>
    </w:p>
    <w:p>
      <w:pPr>
        <w:ind w:left="1680" w:right="2799" w:hanging="919"/>
        <w:spacing w:after="0" w:line="241" w:lineRule="auto"/>
        <w:tabs>
          <w:tab w:leader="none" w:pos="1660" w:val="left"/>
        </w:tabs>
        <w:rPr>
          <w:sz w:val="20"/>
          <w:szCs w:val="20"/>
          <w:color w:val="auto"/>
        </w:rPr>
      </w:pPr>
      <w:r>
        <w:rPr>
          <w:rFonts w:ascii="Arial" w:cs="Arial" w:eastAsia="Arial" w:hAnsi="Arial"/>
          <w:sz w:val="16"/>
          <w:szCs w:val="16"/>
          <w:color w:val="auto"/>
        </w:rPr>
        <w:t>*10(b)(2)</w:t>
      </w:r>
      <w:r>
        <w:rPr>
          <w:sz w:val="20"/>
          <w:szCs w:val="20"/>
          <w:color w:val="auto"/>
        </w:rPr>
        <w:tab/>
      </w:r>
      <w:r>
        <w:rPr>
          <w:rFonts w:ascii="Arial" w:cs="Arial" w:eastAsia="Arial" w:hAnsi="Arial"/>
          <w:sz w:val="16"/>
          <w:szCs w:val="16"/>
          <w:color w:val="auto"/>
        </w:rPr>
        <w:t>Specimen form of Grant Agreement for the Gentex Corporation Qualified Stock Option Plan (as amended and restated, effective February 26, 2004 and as amended March 4, 2005), was filed as Exhibit 10(b)(3) to Registrant’s Report on Form 10-Q dated November 1, 2005, and the same is hereby incorporated herein by reference.</w:t>
      </w:r>
    </w:p>
    <w:p>
      <w:pPr>
        <w:spacing w:after="0" w:line="170" w:lineRule="exact"/>
        <w:rPr>
          <w:sz w:val="20"/>
          <w:szCs w:val="20"/>
          <w:color w:val="auto"/>
        </w:rPr>
      </w:pPr>
    </w:p>
    <w:p>
      <w:pPr>
        <w:ind w:left="1680" w:right="2879" w:hanging="919"/>
        <w:spacing w:after="0" w:line="244" w:lineRule="auto"/>
        <w:tabs>
          <w:tab w:leader="none" w:pos="1660" w:val="left"/>
        </w:tabs>
        <w:rPr>
          <w:sz w:val="20"/>
          <w:szCs w:val="20"/>
          <w:color w:val="auto"/>
        </w:rPr>
      </w:pPr>
      <w:r>
        <w:rPr>
          <w:rFonts w:ascii="Arial" w:cs="Arial" w:eastAsia="Arial" w:hAnsi="Arial"/>
          <w:sz w:val="16"/>
          <w:szCs w:val="16"/>
          <w:color w:val="auto"/>
        </w:rPr>
        <w:t>*10(b)(3)</w:t>
      </w:r>
      <w:r>
        <w:rPr>
          <w:sz w:val="20"/>
          <w:szCs w:val="20"/>
          <w:color w:val="auto"/>
        </w:rPr>
        <w:tab/>
      </w:r>
      <w:r>
        <w:rPr>
          <w:rFonts w:ascii="Arial" w:cs="Arial" w:eastAsia="Arial" w:hAnsi="Arial"/>
          <w:sz w:val="16"/>
          <w:szCs w:val="16"/>
          <w:color w:val="auto"/>
        </w:rPr>
        <w:t>Gentex Corporation Second Restricted Stock Plan was filed as Exhibit 10(b)(2) to Registrant’s Report on Form 10-Q dated April 27, 2001, and the same is hereby incorporated herein by reference.</w:t>
      </w:r>
    </w:p>
    <w:p>
      <w:pPr>
        <w:spacing w:after="0" w:line="168" w:lineRule="exact"/>
        <w:rPr>
          <w:sz w:val="20"/>
          <w:szCs w:val="20"/>
          <w:color w:val="auto"/>
        </w:rPr>
      </w:pPr>
    </w:p>
    <w:p>
      <w:pPr>
        <w:ind w:left="1680" w:right="2759" w:hanging="919"/>
        <w:spacing w:after="0" w:line="244" w:lineRule="auto"/>
        <w:tabs>
          <w:tab w:leader="none" w:pos="1660" w:val="left"/>
        </w:tabs>
        <w:rPr>
          <w:sz w:val="20"/>
          <w:szCs w:val="20"/>
          <w:color w:val="auto"/>
        </w:rPr>
      </w:pPr>
      <w:r>
        <w:rPr>
          <w:rFonts w:ascii="Arial" w:cs="Arial" w:eastAsia="Arial" w:hAnsi="Arial"/>
          <w:sz w:val="16"/>
          <w:szCs w:val="16"/>
          <w:color w:val="auto"/>
        </w:rPr>
        <w:t>*10(b)(4)</w:t>
      </w:r>
      <w:r>
        <w:rPr>
          <w:sz w:val="20"/>
          <w:szCs w:val="20"/>
          <w:color w:val="auto"/>
        </w:rPr>
        <w:tab/>
      </w:r>
      <w:r>
        <w:rPr>
          <w:rFonts w:ascii="Arial" w:cs="Arial" w:eastAsia="Arial" w:hAnsi="Arial"/>
          <w:sz w:val="16"/>
          <w:szCs w:val="16"/>
          <w:color w:val="auto"/>
        </w:rPr>
        <w:t>First Amendment to the Gentex Corporation Second Restricted Stock Plan was filed as Exhibit 10(b)(5) to the Registrant’s Report on Form 10-Q dated August 4, 2008, and the same is hereby incorporated herein by reference.</w:t>
      </w:r>
    </w:p>
    <w:p>
      <w:pPr>
        <w:spacing w:after="0" w:line="168" w:lineRule="exact"/>
        <w:rPr>
          <w:sz w:val="20"/>
          <w:szCs w:val="20"/>
          <w:color w:val="auto"/>
        </w:rPr>
      </w:pPr>
    </w:p>
    <w:p>
      <w:pPr>
        <w:ind w:left="1680" w:right="2799" w:hanging="919"/>
        <w:spacing w:after="0" w:line="242" w:lineRule="auto"/>
        <w:tabs>
          <w:tab w:leader="none" w:pos="1660" w:val="left"/>
        </w:tabs>
        <w:rPr>
          <w:sz w:val="20"/>
          <w:szCs w:val="20"/>
          <w:color w:val="auto"/>
        </w:rPr>
      </w:pPr>
      <w:r>
        <w:rPr>
          <w:rFonts w:ascii="Arial" w:cs="Arial" w:eastAsia="Arial" w:hAnsi="Arial"/>
          <w:sz w:val="16"/>
          <w:szCs w:val="16"/>
          <w:color w:val="auto"/>
        </w:rPr>
        <w:t>*10(b)(5)</w:t>
      </w:r>
      <w:r>
        <w:rPr>
          <w:sz w:val="20"/>
          <w:szCs w:val="20"/>
          <w:color w:val="auto"/>
        </w:rPr>
        <w:tab/>
      </w:r>
      <w:r>
        <w:rPr>
          <w:rFonts w:ascii="Arial" w:cs="Arial" w:eastAsia="Arial" w:hAnsi="Arial"/>
          <w:sz w:val="16"/>
          <w:szCs w:val="16"/>
          <w:color w:val="auto"/>
        </w:rPr>
        <w:t>Specimen form of Grant Agreement for the Gentex Corporation Restricted Stock Plan (as amended and restated, effective February 26, 2004), was filed as Exhibit 10(b)(4) to Registrant’s Report on Form 10-Q dated November 2, 2004, and the same is hereby incorporated herein by reference.</w:t>
      </w:r>
    </w:p>
    <w:p>
      <w:pPr>
        <w:spacing w:after="0" w:line="200" w:lineRule="exact"/>
        <w:rPr>
          <w:sz w:val="20"/>
          <w:szCs w:val="20"/>
          <w:color w:val="auto"/>
        </w:rPr>
      </w:pPr>
    </w:p>
    <w:p>
      <w:pPr>
        <w:spacing w:after="0" w:line="297"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7265035" cy="203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5035" cy="20320"/>
                    </a:xfrm>
                    <a:prstGeom prst="rect">
                      <a:avLst/>
                    </a:prstGeom>
                    <a:noFill/>
                  </pic:spPr>
                </pic:pic>
              </a:graphicData>
            </a:graphic>
          </wp:anchor>
        </w:drawing>
      </w:r>
    </w:p>
    <w:p>
      <w:pPr>
        <w:sectPr>
          <w:pgSz w:w="11900" w:h="16838" w:orient="portrait"/>
          <w:cols w:equalWidth="0" w:num="1">
            <w:col w:w="10219"/>
          </w:cols>
          <w:pgMar w:left="240" w:top="391" w:right="1440"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tbl>
      <w:tblPr>
        <w:tblLayout w:type="fixed"/>
        <w:tblInd w:w="280" w:type="dxa"/>
        <w:tblCellMar>
          <w:top w:w="0" w:type="dxa"/>
          <w:left w:w="0" w:type="dxa"/>
          <w:bottom w:w="0" w:type="dxa"/>
          <w:right w:w="0" w:type="dxa"/>
        </w:tblCellMar>
      </w:tblPr>
      <w:tr>
        <w:trPr>
          <w:trHeight w:val="203"/>
        </w:trPr>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EXHIBIT NO.</w:t>
            </w:r>
          </w:p>
        </w:tc>
        <w:tc>
          <w:tcPr>
            <w:tcW w:w="240" w:type="dxa"/>
            <w:vAlign w:val="bottom"/>
          </w:tcPr>
          <w:p>
            <w:pPr>
              <w:spacing w:after="0"/>
              <w:rPr>
                <w:sz w:val="17"/>
                <w:szCs w:val="17"/>
                <w:color w:val="auto"/>
              </w:rPr>
            </w:pPr>
          </w:p>
        </w:tc>
        <w:tc>
          <w:tcPr>
            <w:tcW w:w="5680" w:type="dxa"/>
            <w:vAlign w:val="bottom"/>
            <w:tcBorders>
              <w:bottom w:val="single" w:sz="8" w:color="auto"/>
            </w:tcBorders>
          </w:tcPr>
          <w:p>
            <w:pPr>
              <w:ind w:left="2280"/>
              <w:spacing w:after="0"/>
              <w:rPr>
                <w:sz w:val="20"/>
                <w:szCs w:val="20"/>
                <w:color w:val="auto"/>
              </w:rPr>
            </w:pPr>
            <w:r>
              <w:rPr>
                <w:rFonts w:ascii="Arial" w:cs="Arial" w:eastAsia="Arial" w:hAnsi="Arial"/>
                <w:sz w:val="16"/>
                <w:szCs w:val="16"/>
                <w:b w:val="1"/>
                <w:bCs w:val="1"/>
                <w:color w:val="auto"/>
              </w:rPr>
              <w:t>DESCRIPTION</w:t>
            </w:r>
          </w:p>
        </w:tc>
        <w:tc>
          <w:tcPr>
            <w:tcW w:w="24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PAGE</w:t>
            </w:r>
          </w:p>
        </w:tc>
      </w:tr>
      <w:tr>
        <w:trPr>
          <w:trHeight w:val="356"/>
        </w:trPr>
        <w:tc>
          <w:tcPr>
            <w:tcW w:w="1200" w:type="dxa"/>
            <w:vAlign w:val="bottom"/>
          </w:tcPr>
          <w:p>
            <w:pPr>
              <w:jc w:val="right"/>
              <w:spacing w:after="0"/>
              <w:rPr>
                <w:sz w:val="20"/>
                <w:szCs w:val="20"/>
                <w:color w:val="auto"/>
              </w:rPr>
            </w:pPr>
            <w:r>
              <w:rPr>
                <w:rFonts w:ascii="Arial" w:cs="Arial" w:eastAsia="Arial" w:hAnsi="Arial"/>
                <w:sz w:val="16"/>
                <w:szCs w:val="16"/>
                <w:color w:val="auto"/>
              </w:rPr>
              <w:t>*10(b)(6)</w:t>
            </w:r>
          </w:p>
        </w:tc>
        <w:tc>
          <w:tcPr>
            <w:tcW w:w="2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Gentex Corporation 2002 Non-employee Director Stock Option Plan (adopted</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80" w:type="dxa"/>
            <w:vAlign w:val="bottom"/>
          </w:tcPr>
          <w:p>
            <w:pPr>
              <w:spacing w:after="0" w:line="182" w:lineRule="exact"/>
              <w:rPr>
                <w:sz w:val="20"/>
                <w:szCs w:val="20"/>
                <w:color w:val="auto"/>
              </w:rPr>
            </w:pPr>
            <w:r>
              <w:rPr>
                <w:rFonts w:ascii="Arial" w:cs="Arial" w:eastAsia="Arial" w:hAnsi="Arial"/>
                <w:sz w:val="16"/>
                <w:szCs w:val="16"/>
                <w:color w:val="auto"/>
              </w:rPr>
              <w:t>March 6, 2002) was filed as Exhibit 10(b)(4) to Registrant’s Report on Form 10-</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80" w:type="dxa"/>
            <w:vAlign w:val="bottom"/>
          </w:tcPr>
          <w:p>
            <w:pPr>
              <w:spacing w:after="0" w:line="182" w:lineRule="exact"/>
              <w:rPr>
                <w:sz w:val="20"/>
                <w:szCs w:val="20"/>
                <w:color w:val="auto"/>
              </w:rPr>
            </w:pPr>
            <w:r>
              <w:rPr>
                <w:rFonts w:ascii="Arial" w:cs="Arial" w:eastAsia="Arial" w:hAnsi="Arial"/>
                <w:sz w:val="16"/>
                <w:szCs w:val="16"/>
                <w:color w:val="auto"/>
              </w:rPr>
              <w:t>Q dated April 30, 2002, and the same is hereby incorporated herein by</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5"/>
        </w:trPr>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reference.</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52"/>
        </w:trPr>
        <w:tc>
          <w:tcPr>
            <w:tcW w:w="1200" w:type="dxa"/>
            <w:vAlign w:val="bottom"/>
          </w:tcPr>
          <w:p>
            <w:pPr>
              <w:jc w:val="right"/>
              <w:spacing w:after="0"/>
              <w:rPr>
                <w:sz w:val="20"/>
                <w:szCs w:val="20"/>
                <w:color w:val="auto"/>
              </w:rPr>
            </w:pPr>
            <w:r>
              <w:rPr>
                <w:rFonts w:ascii="Arial" w:cs="Arial" w:eastAsia="Arial" w:hAnsi="Arial"/>
                <w:sz w:val="16"/>
                <w:szCs w:val="16"/>
                <w:color w:val="auto"/>
              </w:rPr>
              <w:t>*10(b)(7)</w:t>
            </w:r>
          </w:p>
        </w:tc>
        <w:tc>
          <w:tcPr>
            <w:tcW w:w="2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Specimen form of Grant Agreement for the Gentex Corporation 2002 Non-</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80" w:type="dxa"/>
            <w:vAlign w:val="bottom"/>
          </w:tcPr>
          <w:p>
            <w:pPr>
              <w:spacing w:after="0" w:line="182" w:lineRule="exact"/>
              <w:rPr>
                <w:sz w:val="20"/>
                <w:szCs w:val="20"/>
                <w:color w:val="auto"/>
              </w:rPr>
            </w:pPr>
            <w:r>
              <w:rPr>
                <w:rFonts w:ascii="Arial" w:cs="Arial" w:eastAsia="Arial" w:hAnsi="Arial"/>
                <w:sz w:val="16"/>
                <w:szCs w:val="16"/>
                <w:color w:val="auto"/>
              </w:rPr>
              <w:t>Employee Director Stock Option Plan (as amended and restated, effective</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80" w:type="dxa"/>
            <w:vAlign w:val="bottom"/>
          </w:tcPr>
          <w:p>
            <w:pPr>
              <w:spacing w:after="0" w:line="182" w:lineRule="exact"/>
              <w:rPr>
                <w:sz w:val="20"/>
                <w:szCs w:val="20"/>
                <w:color w:val="auto"/>
              </w:rPr>
            </w:pPr>
            <w:r>
              <w:rPr>
                <w:rFonts w:ascii="Arial" w:cs="Arial" w:eastAsia="Arial" w:hAnsi="Arial"/>
                <w:sz w:val="16"/>
                <w:szCs w:val="16"/>
                <w:color w:val="auto"/>
              </w:rPr>
              <w:t>February 26, 2004), was filed as Exhibit 10(b)(6) to Registrant’s Report on</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80" w:type="dxa"/>
            <w:vAlign w:val="bottom"/>
          </w:tcPr>
          <w:p>
            <w:pPr>
              <w:spacing w:after="0" w:line="182" w:lineRule="exact"/>
              <w:rPr>
                <w:sz w:val="20"/>
                <w:szCs w:val="20"/>
                <w:color w:val="auto"/>
              </w:rPr>
            </w:pPr>
            <w:r>
              <w:rPr>
                <w:rFonts w:ascii="Arial" w:cs="Arial" w:eastAsia="Arial" w:hAnsi="Arial"/>
                <w:sz w:val="16"/>
                <w:szCs w:val="16"/>
                <w:color w:val="auto"/>
              </w:rPr>
              <w:t>Form 10-Q dated November 2, 2004, and the same is hereby incorporated</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5"/>
        </w:trPr>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herein by reference.</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52"/>
        </w:trPr>
        <w:tc>
          <w:tcPr>
            <w:tcW w:w="1200" w:type="dxa"/>
            <w:vAlign w:val="bottom"/>
          </w:tcPr>
          <w:p>
            <w:pPr>
              <w:jc w:val="right"/>
              <w:ind w:right="159"/>
              <w:spacing w:after="0"/>
              <w:rPr>
                <w:sz w:val="20"/>
                <w:szCs w:val="20"/>
                <w:color w:val="auto"/>
              </w:rPr>
            </w:pPr>
            <w:r>
              <w:rPr>
                <w:rFonts w:ascii="Arial" w:cs="Arial" w:eastAsia="Arial" w:hAnsi="Arial"/>
                <w:sz w:val="16"/>
                <w:szCs w:val="16"/>
                <w:color w:val="auto"/>
              </w:rPr>
              <w:t>10(e)</w:t>
            </w:r>
          </w:p>
        </w:tc>
        <w:tc>
          <w:tcPr>
            <w:tcW w:w="2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The form of Indemnity Agreement between Registrant and each of the</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82"/>
        </w:trPr>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80" w:type="dxa"/>
            <w:vAlign w:val="bottom"/>
          </w:tcPr>
          <w:p>
            <w:pPr>
              <w:spacing w:after="0" w:line="182" w:lineRule="exact"/>
              <w:rPr>
                <w:sz w:val="20"/>
                <w:szCs w:val="20"/>
                <w:color w:val="auto"/>
              </w:rPr>
            </w:pPr>
            <w:r>
              <w:rPr>
                <w:rFonts w:ascii="Arial" w:cs="Arial" w:eastAsia="Arial" w:hAnsi="Arial"/>
                <w:sz w:val="16"/>
                <w:szCs w:val="16"/>
                <w:color w:val="auto"/>
              </w:rPr>
              <w:t>Registrant’s directors and certain officers was filed as Exhibit 10(e) to</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2"/>
        </w:trPr>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80" w:type="dxa"/>
            <w:vAlign w:val="bottom"/>
          </w:tcPr>
          <w:p>
            <w:pPr>
              <w:spacing w:after="0" w:line="182" w:lineRule="exact"/>
              <w:rPr>
                <w:sz w:val="20"/>
                <w:szCs w:val="20"/>
                <w:color w:val="auto"/>
              </w:rPr>
            </w:pPr>
            <w:r>
              <w:rPr>
                <w:rFonts w:ascii="Arial" w:cs="Arial" w:eastAsia="Arial" w:hAnsi="Arial"/>
                <w:sz w:val="16"/>
                <w:szCs w:val="16"/>
                <w:color w:val="auto"/>
              </w:rPr>
              <w:t>Registrant’s Report on Form 10-Q dated October 31, 2002, and the same is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5"/>
        </w:trPr>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hereby incorporated herein by reference.</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65"/>
        </w:trPr>
        <w:tc>
          <w:tcPr>
            <w:tcW w:w="1200" w:type="dxa"/>
            <w:vAlign w:val="bottom"/>
          </w:tcPr>
          <w:p>
            <w:pPr>
              <w:jc w:val="right"/>
              <w:ind w:right="359"/>
              <w:spacing w:after="0"/>
              <w:rPr>
                <w:sz w:val="20"/>
                <w:szCs w:val="20"/>
                <w:color w:val="auto"/>
              </w:rPr>
            </w:pPr>
            <w:r>
              <w:rPr>
                <w:rFonts w:ascii="Arial" w:cs="Arial" w:eastAsia="Arial" w:hAnsi="Arial"/>
                <w:sz w:val="16"/>
                <w:szCs w:val="16"/>
                <w:color w:val="auto"/>
              </w:rPr>
              <w:t>21</w:t>
            </w:r>
          </w:p>
        </w:tc>
        <w:tc>
          <w:tcPr>
            <w:tcW w:w="2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List of Company Subsidiaries</w:t>
            </w:r>
          </w:p>
        </w:tc>
        <w:tc>
          <w:tcPr>
            <w:tcW w:w="1280" w:type="dxa"/>
            <w:vAlign w:val="bottom"/>
            <w:gridSpan w:val="2"/>
          </w:tcPr>
          <w:p>
            <w:pPr>
              <w:jc w:val="center"/>
              <w:ind w:left="139"/>
              <w:spacing w:after="0"/>
              <w:rPr>
                <w:sz w:val="20"/>
                <w:szCs w:val="20"/>
                <w:color w:val="auto"/>
              </w:rPr>
            </w:pPr>
            <w:r>
              <w:rPr>
                <w:rFonts w:ascii="Arial" w:cs="Arial" w:eastAsia="Arial" w:hAnsi="Arial"/>
                <w:sz w:val="16"/>
                <w:szCs w:val="16"/>
                <w:color w:val="auto"/>
              </w:rPr>
              <w:t>53</w:t>
            </w:r>
          </w:p>
        </w:tc>
      </w:tr>
      <w:tr>
        <w:trPr>
          <w:trHeight w:val="365"/>
        </w:trPr>
        <w:tc>
          <w:tcPr>
            <w:tcW w:w="1200" w:type="dxa"/>
            <w:vAlign w:val="bottom"/>
          </w:tcPr>
          <w:p>
            <w:pPr>
              <w:jc w:val="right"/>
              <w:ind w:right="159"/>
              <w:spacing w:after="0"/>
              <w:rPr>
                <w:sz w:val="20"/>
                <w:szCs w:val="20"/>
                <w:color w:val="auto"/>
              </w:rPr>
            </w:pPr>
            <w:r>
              <w:rPr>
                <w:rFonts w:ascii="Arial" w:cs="Arial" w:eastAsia="Arial" w:hAnsi="Arial"/>
                <w:sz w:val="16"/>
                <w:szCs w:val="16"/>
                <w:color w:val="auto"/>
              </w:rPr>
              <w:t>23(a)</w:t>
            </w:r>
          </w:p>
        </w:tc>
        <w:tc>
          <w:tcPr>
            <w:tcW w:w="2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Consent of Independent Registered Public Accounting Firm</w:t>
            </w:r>
          </w:p>
        </w:tc>
        <w:tc>
          <w:tcPr>
            <w:tcW w:w="1280" w:type="dxa"/>
            <w:vAlign w:val="bottom"/>
            <w:gridSpan w:val="2"/>
          </w:tcPr>
          <w:p>
            <w:pPr>
              <w:jc w:val="center"/>
              <w:ind w:left="139"/>
              <w:spacing w:after="0"/>
              <w:rPr>
                <w:sz w:val="20"/>
                <w:szCs w:val="20"/>
                <w:color w:val="auto"/>
              </w:rPr>
            </w:pPr>
            <w:r>
              <w:rPr>
                <w:rFonts w:ascii="Arial" w:cs="Arial" w:eastAsia="Arial" w:hAnsi="Arial"/>
                <w:sz w:val="16"/>
                <w:szCs w:val="16"/>
                <w:color w:val="auto"/>
              </w:rPr>
              <w:t>54</w:t>
            </w:r>
          </w:p>
        </w:tc>
      </w:tr>
      <w:tr>
        <w:trPr>
          <w:trHeight w:val="352"/>
        </w:trPr>
        <w:tc>
          <w:tcPr>
            <w:tcW w:w="1200" w:type="dxa"/>
            <w:vAlign w:val="bottom"/>
          </w:tcPr>
          <w:p>
            <w:pPr>
              <w:jc w:val="right"/>
              <w:ind w:right="359"/>
              <w:spacing w:after="0"/>
              <w:rPr>
                <w:sz w:val="20"/>
                <w:szCs w:val="20"/>
                <w:color w:val="auto"/>
              </w:rPr>
            </w:pPr>
            <w:r>
              <w:rPr>
                <w:rFonts w:ascii="Arial" w:cs="Arial" w:eastAsia="Arial" w:hAnsi="Arial"/>
                <w:sz w:val="16"/>
                <w:szCs w:val="16"/>
                <w:color w:val="auto"/>
              </w:rPr>
              <w:t>31.1</w:t>
            </w:r>
          </w:p>
        </w:tc>
        <w:tc>
          <w:tcPr>
            <w:tcW w:w="2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Certificate of the Chief Executive Officer of Gentex Corporation pursuant to</w:t>
            </w:r>
          </w:p>
        </w:tc>
        <w:tc>
          <w:tcPr>
            <w:tcW w:w="1280" w:type="dxa"/>
            <w:vAlign w:val="bottom"/>
            <w:gridSpan w:val="2"/>
          </w:tcPr>
          <w:p>
            <w:pPr>
              <w:jc w:val="center"/>
              <w:ind w:left="139"/>
              <w:spacing w:after="0"/>
              <w:rPr>
                <w:sz w:val="20"/>
                <w:szCs w:val="20"/>
                <w:color w:val="auto"/>
              </w:rPr>
            </w:pPr>
            <w:r>
              <w:rPr>
                <w:rFonts w:ascii="Arial" w:cs="Arial" w:eastAsia="Arial" w:hAnsi="Arial"/>
                <w:sz w:val="16"/>
                <w:szCs w:val="16"/>
                <w:color w:val="auto"/>
              </w:rPr>
              <w:t>55</w:t>
            </w:r>
          </w:p>
        </w:tc>
      </w:tr>
      <w:tr>
        <w:trPr>
          <w:trHeight w:val="195"/>
        </w:trPr>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Section 302 of the Sarbanes-Oxley Act of 2002 (18 U.S.C. 1350).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52"/>
        </w:trPr>
        <w:tc>
          <w:tcPr>
            <w:tcW w:w="1200" w:type="dxa"/>
            <w:vAlign w:val="bottom"/>
          </w:tcPr>
          <w:p>
            <w:pPr>
              <w:jc w:val="right"/>
              <w:ind w:right="359"/>
              <w:spacing w:after="0"/>
              <w:rPr>
                <w:sz w:val="20"/>
                <w:szCs w:val="20"/>
                <w:color w:val="auto"/>
              </w:rPr>
            </w:pPr>
            <w:r>
              <w:rPr>
                <w:rFonts w:ascii="Arial" w:cs="Arial" w:eastAsia="Arial" w:hAnsi="Arial"/>
                <w:sz w:val="16"/>
                <w:szCs w:val="16"/>
                <w:color w:val="auto"/>
              </w:rPr>
              <w:t>31.2</w:t>
            </w:r>
          </w:p>
        </w:tc>
        <w:tc>
          <w:tcPr>
            <w:tcW w:w="2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Certificate of the Chief Financial Officer of Gentex Corporation pursuant to</w:t>
            </w:r>
          </w:p>
        </w:tc>
        <w:tc>
          <w:tcPr>
            <w:tcW w:w="1280" w:type="dxa"/>
            <w:vAlign w:val="bottom"/>
            <w:gridSpan w:val="2"/>
          </w:tcPr>
          <w:p>
            <w:pPr>
              <w:jc w:val="center"/>
              <w:ind w:left="139"/>
              <w:spacing w:after="0"/>
              <w:rPr>
                <w:sz w:val="20"/>
                <w:szCs w:val="20"/>
                <w:color w:val="auto"/>
              </w:rPr>
            </w:pPr>
            <w:r>
              <w:rPr>
                <w:rFonts w:ascii="Arial" w:cs="Arial" w:eastAsia="Arial" w:hAnsi="Arial"/>
                <w:sz w:val="16"/>
                <w:szCs w:val="16"/>
                <w:color w:val="auto"/>
              </w:rPr>
              <w:t>56</w:t>
            </w:r>
          </w:p>
        </w:tc>
      </w:tr>
      <w:tr>
        <w:trPr>
          <w:trHeight w:val="195"/>
        </w:trPr>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Section 302 of the Sarbanes-Oxley Act of 2002 (18 U.S.C. 1350).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52"/>
        </w:trPr>
        <w:tc>
          <w:tcPr>
            <w:tcW w:w="1200" w:type="dxa"/>
            <w:vAlign w:val="bottom"/>
          </w:tcPr>
          <w:p>
            <w:pPr>
              <w:jc w:val="right"/>
              <w:ind w:right="359"/>
              <w:spacing w:after="0"/>
              <w:rPr>
                <w:sz w:val="20"/>
                <w:szCs w:val="20"/>
                <w:color w:val="auto"/>
              </w:rPr>
            </w:pPr>
            <w:r>
              <w:rPr>
                <w:rFonts w:ascii="Arial" w:cs="Arial" w:eastAsia="Arial" w:hAnsi="Arial"/>
                <w:sz w:val="16"/>
                <w:szCs w:val="16"/>
                <w:color w:val="auto"/>
              </w:rPr>
              <w:t>32</w:t>
            </w:r>
          </w:p>
        </w:tc>
        <w:tc>
          <w:tcPr>
            <w:tcW w:w="240" w:type="dxa"/>
            <w:vAlign w:val="bottom"/>
          </w:tcPr>
          <w:p>
            <w:pPr>
              <w:spacing w:after="0"/>
              <w:rPr>
                <w:sz w:val="24"/>
                <w:szCs w:val="24"/>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Certificate of the Chief Executive Officer and Chief Financial Officer of Gentex</w:t>
            </w:r>
          </w:p>
        </w:tc>
        <w:tc>
          <w:tcPr>
            <w:tcW w:w="1280" w:type="dxa"/>
            <w:vAlign w:val="bottom"/>
            <w:gridSpan w:val="2"/>
          </w:tcPr>
          <w:p>
            <w:pPr>
              <w:jc w:val="center"/>
              <w:ind w:left="139"/>
              <w:spacing w:after="0"/>
              <w:rPr>
                <w:sz w:val="20"/>
                <w:szCs w:val="20"/>
                <w:color w:val="auto"/>
              </w:rPr>
            </w:pPr>
            <w:r>
              <w:rPr>
                <w:rFonts w:ascii="Arial" w:cs="Arial" w:eastAsia="Arial" w:hAnsi="Arial"/>
                <w:sz w:val="16"/>
                <w:szCs w:val="16"/>
                <w:color w:val="auto"/>
              </w:rPr>
              <w:t>57</w:t>
            </w:r>
          </w:p>
        </w:tc>
      </w:tr>
      <w:tr>
        <w:trPr>
          <w:trHeight w:val="182"/>
        </w:trPr>
        <w:tc>
          <w:tcPr>
            <w:tcW w:w="1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80" w:type="dxa"/>
            <w:vAlign w:val="bottom"/>
          </w:tcPr>
          <w:p>
            <w:pPr>
              <w:spacing w:after="0" w:line="182" w:lineRule="exact"/>
              <w:rPr>
                <w:sz w:val="20"/>
                <w:szCs w:val="20"/>
                <w:color w:val="auto"/>
              </w:rPr>
            </w:pPr>
            <w:r>
              <w:rPr>
                <w:rFonts w:ascii="Arial" w:cs="Arial" w:eastAsia="Arial" w:hAnsi="Arial"/>
                <w:sz w:val="16"/>
                <w:szCs w:val="16"/>
                <w:color w:val="auto"/>
              </w:rPr>
              <w:t>Corporation pursuant to Section 906 of the Sarbanes-Oxley Act of 2002 (18</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5"/>
        </w:trPr>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U.S.C. § 1350).</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r>
    </w:tbl>
    <w:p>
      <w:pPr>
        <w:spacing w:after="0" w:line="97" w:lineRule="exact"/>
        <w:rPr>
          <w:sz w:val="20"/>
          <w:szCs w:val="20"/>
          <w:color w:val="auto"/>
        </w:rPr>
      </w:pPr>
    </w:p>
    <w:p>
      <w:pPr>
        <w:ind w:left="600" w:hanging="311"/>
        <w:spacing w:after="0"/>
        <w:tabs>
          <w:tab w:leader="none" w:pos="6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Indicates a compensatory plan or arrangement.</w:t>
      </w:r>
    </w:p>
    <w:p>
      <w:pPr>
        <w:spacing w:after="0" w:line="200" w:lineRule="exact"/>
        <w:rPr>
          <w:sz w:val="20"/>
          <w:szCs w:val="20"/>
          <w:color w:val="auto"/>
        </w:rPr>
      </w:pPr>
    </w:p>
    <w:p>
      <w:pPr>
        <w:spacing w:after="0" w:line="309" w:lineRule="exact"/>
        <w:rPr>
          <w:sz w:val="20"/>
          <w:szCs w:val="20"/>
          <w:color w:val="auto"/>
        </w:rPr>
      </w:pPr>
    </w:p>
    <w:p>
      <w:pPr>
        <w:ind w:left="4300"/>
        <w:spacing w:after="0"/>
        <w:rPr>
          <w:sz w:val="20"/>
          <w:szCs w:val="20"/>
          <w:color w:val="auto"/>
        </w:rPr>
      </w:pPr>
      <w:r>
        <w:rPr>
          <w:rFonts w:ascii="Arial" w:cs="Arial" w:eastAsia="Arial" w:hAnsi="Arial"/>
          <w:sz w:val="16"/>
          <w:szCs w:val="16"/>
          <w:color w:val="auto"/>
        </w:rPr>
        <w:t>- 52 -</w:t>
      </w:r>
    </w:p>
    <w:p>
      <w:pPr>
        <w:sectPr>
          <w:pgSz w:w="11900" w:h="16838" w:orient="portrait"/>
          <w:cols w:equalWidth="0" w:num="1">
            <w:col w:w="10219"/>
          </w:cols>
          <w:pgMar w:left="240" w:top="391" w:right="1440" w:bottom="1440" w:gutter="0" w:footer="0" w:header="0"/>
        </w:sectPr>
      </w:pPr>
    </w:p>
    <w:bookmarkStart w:id="56" w:name="page57"/>
    <w:bookmarkEnd w:id="56"/>
    <w:p>
      <w:pPr>
        <w:jc w:val="center"/>
        <w:ind w:right="1548"/>
        <w:spacing w:after="0"/>
        <w:rPr>
          <w:sz w:val="20"/>
          <w:szCs w:val="20"/>
          <w:color w:val="auto"/>
        </w:rPr>
      </w:pPr>
      <w:r>
        <w:rPr>
          <w:rFonts w:ascii="Arial" w:cs="Arial" w:eastAsia="Arial" w:hAnsi="Arial"/>
          <w:sz w:val="16"/>
          <w:szCs w:val="16"/>
          <w:b w:val="1"/>
          <w:bCs w:val="1"/>
          <w:color w:val="auto"/>
        </w:rPr>
        <w:t>Exhibit 21</w:t>
      </w:r>
    </w:p>
    <w:p>
      <w:pPr>
        <w:spacing w:after="0" w:line="155" w:lineRule="exact"/>
        <w:rPr>
          <w:sz w:val="20"/>
          <w:szCs w:val="20"/>
          <w:color w:val="auto"/>
        </w:rPr>
      </w:pPr>
    </w:p>
    <w:p>
      <w:pPr>
        <w:jc w:val="center"/>
        <w:ind w:right="1548"/>
        <w:spacing w:after="0"/>
        <w:rPr>
          <w:sz w:val="20"/>
          <w:szCs w:val="20"/>
          <w:color w:val="auto"/>
        </w:rPr>
      </w:pPr>
      <w:r>
        <w:rPr>
          <w:rFonts w:ascii="Arial" w:cs="Arial" w:eastAsia="Arial" w:hAnsi="Arial"/>
          <w:sz w:val="16"/>
          <w:szCs w:val="16"/>
          <w:b w:val="1"/>
          <w:bCs w:val="1"/>
          <w:color w:val="auto"/>
        </w:rPr>
        <w:t>List of Gentex Corporation Subsidiaries</w:t>
      </w:r>
    </w:p>
    <w:p>
      <w:pPr>
        <w:spacing w:after="0" w:line="188" w:lineRule="exact"/>
        <w:rPr>
          <w:sz w:val="20"/>
          <w:szCs w:val="20"/>
          <w:color w:val="auto"/>
        </w:rPr>
      </w:pPr>
    </w:p>
    <w:p>
      <w:pPr>
        <w:ind w:left="311" w:hanging="311"/>
        <w:spacing w:after="0"/>
        <w:tabs>
          <w:tab w:leader="none" w:pos="311" w:val="left"/>
        </w:tabs>
        <w:numPr>
          <w:ilvl w:val="0"/>
          <w:numId w:val="31"/>
        </w:numPr>
        <w:rPr>
          <w:rFonts w:ascii="Arial" w:cs="Arial" w:eastAsia="Arial" w:hAnsi="Arial"/>
          <w:sz w:val="16"/>
          <w:szCs w:val="16"/>
          <w:color w:val="auto"/>
        </w:rPr>
      </w:pPr>
      <w:r>
        <w:rPr>
          <w:rFonts w:ascii="Arial" w:cs="Arial" w:eastAsia="Arial" w:hAnsi="Arial"/>
          <w:sz w:val="16"/>
          <w:szCs w:val="16"/>
          <w:color w:val="auto"/>
        </w:rPr>
        <w:t>E.C. Aviation Services, Inc., a Michigan corporation, is a wholly-owned subsidiary of Gentex Corporation.</w:t>
      </w:r>
    </w:p>
    <w:p>
      <w:pPr>
        <w:spacing w:after="0" w:line="156" w:lineRule="exact"/>
        <w:rPr>
          <w:rFonts w:ascii="Arial" w:cs="Arial" w:eastAsia="Arial" w:hAnsi="Arial"/>
          <w:sz w:val="16"/>
          <w:szCs w:val="16"/>
          <w:color w:val="auto"/>
        </w:rPr>
      </w:pPr>
    </w:p>
    <w:p>
      <w:pPr>
        <w:ind w:left="311" w:hanging="311"/>
        <w:spacing w:after="0"/>
        <w:tabs>
          <w:tab w:leader="none" w:pos="311"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Gentex Holdings, Inc., a Michigan corporation, is a wholly-owned subsidiary of Gentex Corporation.</w:t>
      </w:r>
    </w:p>
    <w:p>
      <w:pPr>
        <w:spacing w:after="0" w:line="156" w:lineRule="exact"/>
        <w:rPr>
          <w:rFonts w:ascii="Arial" w:cs="Arial" w:eastAsia="Arial" w:hAnsi="Arial"/>
          <w:sz w:val="16"/>
          <w:szCs w:val="16"/>
          <w:color w:val="auto"/>
        </w:rPr>
      </w:pPr>
    </w:p>
    <w:p>
      <w:pPr>
        <w:ind w:left="311" w:right="1679" w:hanging="311"/>
        <w:spacing w:after="0" w:line="251" w:lineRule="auto"/>
        <w:tabs>
          <w:tab w:leader="none" w:pos="311"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Gentex GmbH, a German limited liability company, is a subsidiary 50% owned by Gentex Corporation and 50% owned by Gentex Holdings, Inc.</w:t>
      </w:r>
    </w:p>
    <w:p>
      <w:pPr>
        <w:spacing w:after="0" w:line="149" w:lineRule="exact"/>
        <w:rPr>
          <w:rFonts w:ascii="Arial" w:cs="Arial" w:eastAsia="Arial" w:hAnsi="Arial"/>
          <w:sz w:val="16"/>
          <w:szCs w:val="16"/>
          <w:color w:val="auto"/>
        </w:rPr>
      </w:pPr>
    </w:p>
    <w:p>
      <w:pPr>
        <w:ind w:left="311" w:hanging="311"/>
        <w:spacing w:after="0"/>
        <w:tabs>
          <w:tab w:leader="none" w:pos="311"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Gentex Japan, Inc., a Japanese corporation, is a wholly-owned subsidiary of Gentex Corporation.</w:t>
      </w:r>
    </w:p>
    <w:p>
      <w:pPr>
        <w:spacing w:after="0" w:line="156" w:lineRule="exact"/>
        <w:rPr>
          <w:rFonts w:ascii="Arial" w:cs="Arial" w:eastAsia="Arial" w:hAnsi="Arial"/>
          <w:sz w:val="16"/>
          <w:szCs w:val="16"/>
          <w:color w:val="auto"/>
        </w:rPr>
      </w:pPr>
    </w:p>
    <w:p>
      <w:pPr>
        <w:ind w:left="311" w:right="2219" w:hanging="311"/>
        <w:spacing w:after="0" w:line="251" w:lineRule="auto"/>
        <w:tabs>
          <w:tab w:leader="none" w:pos="311"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Gentex Mirrors Ltd., a United Kingdom limited liability company, is a wholly-owned subsidiary of Gentex Corporation.</w:t>
      </w:r>
    </w:p>
    <w:p>
      <w:pPr>
        <w:spacing w:after="0" w:line="137" w:lineRule="exact"/>
        <w:rPr>
          <w:rFonts w:ascii="Arial" w:cs="Arial" w:eastAsia="Arial" w:hAnsi="Arial"/>
          <w:sz w:val="16"/>
          <w:szCs w:val="16"/>
          <w:color w:val="auto"/>
        </w:rPr>
      </w:pPr>
    </w:p>
    <w:p>
      <w:pPr>
        <w:ind w:left="311" w:right="2399" w:hanging="311"/>
        <w:spacing w:after="0" w:line="251" w:lineRule="auto"/>
        <w:tabs>
          <w:tab w:leader="none" w:pos="311"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Gentex France, SAS, a French simplified liability corporation, is a wholly-owned subsidiary of Gentex Corporation.</w:t>
      </w:r>
    </w:p>
    <w:p>
      <w:pPr>
        <w:spacing w:after="0" w:line="149" w:lineRule="exact"/>
        <w:rPr>
          <w:rFonts w:ascii="Arial" w:cs="Arial" w:eastAsia="Arial" w:hAnsi="Arial"/>
          <w:sz w:val="16"/>
          <w:szCs w:val="16"/>
          <w:color w:val="auto"/>
        </w:rPr>
      </w:pPr>
    </w:p>
    <w:p>
      <w:pPr>
        <w:ind w:left="311" w:right="1699" w:hanging="311"/>
        <w:spacing w:after="0" w:line="251" w:lineRule="auto"/>
        <w:tabs>
          <w:tab w:leader="none" w:pos="311"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Gentex Technologies Korea Co., Ltd., a Korean limited stock company, is a wholly-owned subsidiary of Gentex Corporation.</w:t>
      </w:r>
    </w:p>
    <w:p>
      <w:pPr>
        <w:spacing w:after="0" w:line="137" w:lineRule="exact"/>
        <w:rPr>
          <w:rFonts w:ascii="Arial" w:cs="Arial" w:eastAsia="Arial" w:hAnsi="Arial"/>
          <w:sz w:val="16"/>
          <w:szCs w:val="16"/>
          <w:color w:val="auto"/>
        </w:rPr>
      </w:pPr>
    </w:p>
    <w:p>
      <w:pPr>
        <w:ind w:left="311" w:right="2059" w:hanging="311"/>
        <w:spacing w:after="0" w:line="251" w:lineRule="auto"/>
        <w:tabs>
          <w:tab w:leader="none" w:pos="311" w:val="left"/>
        </w:tabs>
        <w:numPr>
          <w:ilvl w:val="0"/>
          <w:numId w:val="31"/>
        </w:numPr>
        <w:rPr>
          <w:rFonts w:ascii="Arial" w:cs="Arial" w:eastAsia="Arial" w:hAnsi="Arial"/>
          <w:sz w:val="16"/>
          <w:szCs w:val="16"/>
          <w:color w:val="auto"/>
        </w:rPr>
      </w:pPr>
      <w:r>
        <w:rPr>
          <w:rFonts w:ascii="Arial" w:cs="Arial" w:eastAsia="Arial" w:hAnsi="Arial"/>
          <w:sz w:val="16"/>
          <w:szCs w:val="16"/>
          <w:color w:val="auto"/>
        </w:rPr>
        <w:t>Gentex (Shanghai) Electronic Technology Co., Inc., a Chinese limited liability company, is a wholly-owned subsidiary of Gentex Corporation.</w:t>
      </w:r>
    </w:p>
    <w:p>
      <w:pPr>
        <w:spacing w:after="0" w:line="138" w:lineRule="exact"/>
        <w:rPr>
          <w:sz w:val="20"/>
          <w:szCs w:val="20"/>
          <w:color w:val="auto"/>
        </w:rPr>
      </w:pPr>
    </w:p>
    <w:p>
      <w:pPr>
        <w:ind w:left="3851"/>
        <w:spacing w:after="0"/>
        <w:rPr>
          <w:sz w:val="20"/>
          <w:szCs w:val="20"/>
          <w:color w:val="auto"/>
        </w:rPr>
      </w:pPr>
      <w:r>
        <w:rPr>
          <w:rFonts w:ascii="Arial" w:cs="Arial" w:eastAsia="Arial" w:hAnsi="Arial"/>
          <w:sz w:val="16"/>
          <w:szCs w:val="16"/>
          <w:color w:val="auto"/>
        </w:rPr>
        <w:t>Exhibit 21</w:t>
      </w:r>
    </w:p>
    <w:p>
      <w:pPr>
        <w:spacing w:after="0" w:line="200" w:lineRule="exact"/>
        <w:rPr>
          <w:sz w:val="20"/>
          <w:szCs w:val="20"/>
          <w:color w:val="auto"/>
        </w:rPr>
      </w:pPr>
    </w:p>
    <w:p>
      <w:pPr>
        <w:spacing w:after="0" w:line="309" w:lineRule="exact"/>
        <w:rPr>
          <w:sz w:val="20"/>
          <w:szCs w:val="20"/>
          <w:color w:val="auto"/>
        </w:rPr>
      </w:pPr>
    </w:p>
    <w:p>
      <w:pPr>
        <w:ind w:left="4011"/>
        <w:spacing w:after="0"/>
        <w:rPr>
          <w:sz w:val="20"/>
          <w:szCs w:val="20"/>
          <w:color w:val="auto"/>
        </w:rPr>
      </w:pPr>
      <w:r>
        <w:rPr>
          <w:rFonts w:ascii="Arial" w:cs="Arial" w:eastAsia="Arial" w:hAnsi="Arial"/>
          <w:sz w:val="16"/>
          <w:szCs w:val="16"/>
          <w:color w:val="auto"/>
        </w:rPr>
        <w:t>- 53 -</w:t>
      </w:r>
    </w:p>
    <w:p>
      <w:pPr>
        <w:sectPr>
          <w:pgSz w:w="11900" w:h="16838" w:orient="portrait"/>
          <w:cols w:equalWidth="0" w:num="1">
            <w:col w:w="9930"/>
          </w:cols>
          <w:pgMar w:left="529" w:top="120" w:right="1440" w:bottom="1440" w:gutter="0" w:footer="0" w:header="0"/>
        </w:sectPr>
      </w:pPr>
    </w:p>
    <w:bookmarkStart w:id="57" w:name="page58"/>
    <w:bookmarkEnd w:id="57"/>
    <w:p>
      <w:pPr>
        <w:jc w:val="center"/>
        <w:ind w:right="1519"/>
        <w:spacing w:after="0"/>
        <w:rPr>
          <w:sz w:val="20"/>
          <w:szCs w:val="20"/>
          <w:color w:val="auto"/>
        </w:rPr>
      </w:pPr>
      <w:r>
        <w:rPr>
          <w:rFonts w:ascii="Arial" w:cs="Arial" w:eastAsia="Arial" w:hAnsi="Arial"/>
          <w:sz w:val="16"/>
          <w:szCs w:val="16"/>
          <w:b w:val="1"/>
          <w:bCs w:val="1"/>
          <w:color w:val="auto"/>
        </w:rPr>
        <w:t>Exhibit 23(a)</w:t>
      </w:r>
    </w:p>
    <w:p>
      <w:pPr>
        <w:spacing w:after="0" w:line="155" w:lineRule="exact"/>
        <w:rPr>
          <w:sz w:val="20"/>
          <w:szCs w:val="20"/>
          <w:color w:val="auto"/>
        </w:rPr>
      </w:pPr>
    </w:p>
    <w:p>
      <w:pPr>
        <w:jc w:val="center"/>
        <w:ind w:right="1519"/>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188" w:lineRule="exact"/>
        <w:rPr>
          <w:sz w:val="20"/>
          <w:szCs w:val="20"/>
          <w:color w:val="auto"/>
        </w:rPr>
      </w:pPr>
    </w:p>
    <w:p>
      <w:pPr>
        <w:ind w:right="1599"/>
        <w:spacing w:after="0" w:line="241" w:lineRule="auto"/>
        <w:rPr>
          <w:sz w:val="20"/>
          <w:szCs w:val="20"/>
          <w:color w:val="auto"/>
        </w:rPr>
      </w:pPr>
      <w:r>
        <w:rPr>
          <w:rFonts w:ascii="Arial" w:cs="Arial" w:eastAsia="Arial" w:hAnsi="Arial"/>
          <w:sz w:val="16"/>
          <w:szCs w:val="16"/>
          <w:color w:val="auto"/>
        </w:rPr>
        <w:t>We consent to the incorporation by reference in the Registration Statements (Form S-8 Nos. 333-101642, 33-65321, 333-04661, 333-105858 and 333-118213) pertaining to various stock option and incentive plans of Gentex Corporation of our reports dated February 23, 2010, with respect to the consolidated financial statements of Gentex Corporation and subsidiaries, and the effectiveness of internal control over financial reporting of Gentex Corporation, included in this Annual Report (Form 10-K) for the year ended December 31, 2009.</w:t>
      </w:r>
    </w:p>
    <w:p>
      <w:pPr>
        <w:spacing w:after="0" w:line="14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 Ernst &amp; Young LLP</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Grand Rapids, Michigan</w:t>
      </w:r>
    </w:p>
    <w:p>
      <w:pPr>
        <w:spacing w:after="0"/>
        <w:rPr>
          <w:sz w:val="20"/>
          <w:szCs w:val="20"/>
          <w:color w:val="auto"/>
        </w:rPr>
      </w:pPr>
      <w:r>
        <w:rPr>
          <w:rFonts w:ascii="Arial" w:cs="Arial" w:eastAsia="Arial" w:hAnsi="Arial"/>
          <w:sz w:val="16"/>
          <w:szCs w:val="16"/>
          <w:color w:val="auto"/>
        </w:rPr>
        <w:t>February 23, 2010</w:t>
      </w:r>
    </w:p>
    <w:p>
      <w:pPr>
        <w:spacing w:after="0" w:line="168"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Exhibit 23(a)</w:t>
      </w:r>
    </w:p>
    <w:p>
      <w:pPr>
        <w:spacing w:after="0" w:line="200" w:lineRule="exact"/>
        <w:rPr>
          <w:sz w:val="20"/>
          <w:szCs w:val="20"/>
          <w:color w:val="auto"/>
        </w:rPr>
      </w:pPr>
    </w:p>
    <w:p>
      <w:pPr>
        <w:spacing w:after="0" w:line="296"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- 54 -</w:t>
      </w:r>
    </w:p>
    <w:p>
      <w:pPr>
        <w:sectPr>
          <w:pgSz w:w="11900" w:h="16838" w:orient="portrait"/>
          <w:cols w:equalWidth="0" w:num="1">
            <w:col w:w="9939"/>
          </w:cols>
          <w:pgMar w:left="520" w:top="120" w:right="1440" w:bottom="1440" w:gutter="0" w:footer="0" w:header="0"/>
        </w:sectPr>
      </w:pPr>
    </w:p>
    <w:bookmarkStart w:id="58" w:name="page59"/>
    <w:bookmarkEnd w:id="58"/>
    <w:p>
      <w:pPr>
        <w:ind w:left="3700"/>
        <w:spacing w:after="0"/>
        <w:rPr>
          <w:sz w:val="20"/>
          <w:szCs w:val="20"/>
          <w:color w:val="auto"/>
        </w:rPr>
      </w:pPr>
      <w:r>
        <w:rPr>
          <w:rFonts w:ascii="Arial" w:cs="Arial" w:eastAsia="Arial" w:hAnsi="Arial"/>
          <w:sz w:val="16"/>
          <w:szCs w:val="16"/>
          <w:b w:val="1"/>
          <w:bCs w:val="1"/>
          <w:color w:val="auto"/>
        </w:rPr>
        <w:t>EXHIBIT 31.1</w:t>
      </w:r>
    </w:p>
    <w:p>
      <w:pPr>
        <w:spacing w:after="0" w:line="180"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auto"/>
        </w:rPr>
        <w:t>CERTIFICATION OF THE CHIEF EXECUTIVE OFFICER OF GENTEX CORPORATION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 Fred T. Bauer, certify that:</w:t>
      </w:r>
    </w:p>
    <w:p>
      <w:pPr>
        <w:spacing w:after="0" w:line="168" w:lineRule="exact"/>
        <w:rPr>
          <w:sz w:val="20"/>
          <w:szCs w:val="20"/>
          <w:color w:val="auto"/>
        </w:rPr>
      </w:pPr>
    </w:p>
    <w:p>
      <w:pPr>
        <w:ind w:left="660" w:hanging="323"/>
        <w:spacing w:after="0"/>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Gentex Corporation;</w:t>
      </w:r>
    </w:p>
    <w:p>
      <w:pPr>
        <w:spacing w:after="0" w:line="156" w:lineRule="exact"/>
        <w:rPr>
          <w:rFonts w:ascii="Arial" w:cs="Arial" w:eastAsia="Arial" w:hAnsi="Arial"/>
          <w:sz w:val="16"/>
          <w:szCs w:val="16"/>
          <w:color w:val="auto"/>
        </w:rPr>
      </w:pPr>
    </w:p>
    <w:p>
      <w:pPr>
        <w:ind w:left="660" w:right="1599" w:hanging="323"/>
        <w:spacing w:after="0" w:line="244"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43" w:lineRule="exact"/>
        <w:rPr>
          <w:rFonts w:ascii="Arial" w:cs="Arial" w:eastAsia="Arial" w:hAnsi="Arial"/>
          <w:sz w:val="16"/>
          <w:szCs w:val="16"/>
          <w:color w:val="auto"/>
        </w:rPr>
      </w:pPr>
    </w:p>
    <w:p>
      <w:pPr>
        <w:ind w:left="660" w:right="1739" w:hanging="323"/>
        <w:spacing w:after="0" w:line="244"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5" w:lineRule="exact"/>
        <w:rPr>
          <w:rFonts w:ascii="Arial" w:cs="Arial" w:eastAsia="Arial" w:hAnsi="Arial"/>
          <w:sz w:val="16"/>
          <w:szCs w:val="16"/>
          <w:color w:val="auto"/>
        </w:rPr>
      </w:pPr>
    </w:p>
    <w:p>
      <w:pPr>
        <w:ind w:left="660" w:right="1759" w:hanging="323"/>
        <w:spacing w:after="0" w:line="242"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left="1320" w:right="1699" w:hanging="315"/>
        <w:spacing w:after="0" w:line="242" w:lineRule="auto"/>
        <w:tabs>
          <w:tab w:leader="none" w:pos="13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44" w:lineRule="exact"/>
        <w:rPr>
          <w:rFonts w:ascii="Arial" w:cs="Arial" w:eastAsia="Arial" w:hAnsi="Arial"/>
          <w:sz w:val="16"/>
          <w:szCs w:val="16"/>
          <w:color w:val="auto"/>
        </w:rPr>
      </w:pPr>
    </w:p>
    <w:p>
      <w:pPr>
        <w:ind w:left="1320" w:right="2039" w:hanging="315"/>
        <w:spacing w:after="0" w:line="242" w:lineRule="auto"/>
        <w:tabs>
          <w:tab w:leader="none" w:pos="13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6"/>
          <w:szCs w:val="16"/>
          <w:color w:val="auto"/>
        </w:rPr>
      </w:pPr>
    </w:p>
    <w:p>
      <w:pPr>
        <w:ind w:left="1320" w:right="1559" w:hanging="315"/>
        <w:spacing w:after="0" w:line="242" w:lineRule="auto"/>
        <w:tabs>
          <w:tab w:leader="none" w:pos="13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44" w:lineRule="exact"/>
        <w:rPr>
          <w:rFonts w:ascii="Arial" w:cs="Arial" w:eastAsia="Arial" w:hAnsi="Arial"/>
          <w:sz w:val="16"/>
          <w:szCs w:val="16"/>
          <w:color w:val="auto"/>
        </w:rPr>
      </w:pPr>
    </w:p>
    <w:p>
      <w:pPr>
        <w:ind w:left="1320" w:right="1599" w:hanging="315"/>
        <w:spacing w:after="0" w:line="242" w:lineRule="auto"/>
        <w:tabs>
          <w:tab w:leader="none" w:pos="13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6"/>
          <w:szCs w:val="16"/>
          <w:color w:val="auto"/>
        </w:rPr>
      </w:pPr>
    </w:p>
    <w:p>
      <w:pPr>
        <w:jc w:val="both"/>
        <w:ind w:left="660" w:right="1599" w:hanging="323"/>
        <w:spacing w:after="0" w:line="244" w:lineRule="auto"/>
        <w:tabs>
          <w:tab w:leader="none" w:pos="6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left="1320" w:right="1759" w:hanging="315"/>
        <w:spacing w:after="0" w:line="244" w:lineRule="auto"/>
        <w:tabs>
          <w:tab w:leader="none" w:pos="13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6"/>
          <w:szCs w:val="16"/>
          <w:color w:val="auto"/>
        </w:rPr>
      </w:pPr>
    </w:p>
    <w:p>
      <w:pPr>
        <w:ind w:left="1320" w:right="1919" w:hanging="315"/>
        <w:spacing w:after="0" w:line="251" w:lineRule="auto"/>
        <w:tabs>
          <w:tab w:leader="none" w:pos="1320" w:val="left"/>
        </w:tabs>
        <w:numPr>
          <w:ilvl w:val="1"/>
          <w:numId w:val="3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23, 2010</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/s/ Fred T. 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0</wp:posOffset>
            </wp:positionV>
            <wp:extent cx="1975485"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75485" cy="7620"/>
                    </a:xfrm>
                    <a:prstGeom prst="rect">
                      <a:avLst/>
                    </a:prstGeom>
                    <a:noFill/>
                  </pic:spPr>
                </pic:pic>
              </a:graphicData>
            </a:graphic>
          </wp:anchor>
        </w:drawing>
      </w:r>
    </w:p>
    <w:p>
      <w:pPr>
        <w:ind w:left="4040"/>
        <w:spacing w:after="0"/>
        <w:rPr>
          <w:sz w:val="20"/>
          <w:szCs w:val="20"/>
          <w:color w:val="auto"/>
        </w:rPr>
      </w:pPr>
      <w:r>
        <w:rPr>
          <w:rFonts w:ascii="Arial" w:cs="Arial" w:eastAsia="Arial" w:hAnsi="Arial"/>
          <w:sz w:val="16"/>
          <w:szCs w:val="16"/>
          <w:color w:val="auto"/>
        </w:rPr>
        <w:t>Fred T. Bauer</w:t>
      </w:r>
    </w:p>
    <w:p>
      <w:pPr>
        <w:jc w:val="center"/>
        <w:ind w:right="199"/>
        <w:spacing w:after="0"/>
        <w:rPr>
          <w:sz w:val="20"/>
          <w:szCs w:val="20"/>
          <w:color w:val="auto"/>
        </w:rPr>
      </w:pP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309"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- 55 -</w:t>
      </w:r>
    </w:p>
    <w:p>
      <w:pPr>
        <w:sectPr>
          <w:pgSz w:w="11900" w:h="16838" w:orient="portrait"/>
          <w:cols w:equalWidth="0" w:num="1">
            <w:col w:w="9939"/>
          </w:cols>
          <w:pgMar w:left="520" w:top="120" w:right="1440" w:bottom="1440" w:gutter="0" w:footer="0" w:header="0"/>
        </w:sectPr>
      </w:pPr>
    </w:p>
    <w:bookmarkStart w:id="59" w:name="page60"/>
    <w:bookmarkEnd w:id="59"/>
    <w:p>
      <w:pPr>
        <w:ind w:left="3700"/>
        <w:spacing w:after="0"/>
        <w:rPr>
          <w:sz w:val="20"/>
          <w:szCs w:val="20"/>
          <w:color w:val="auto"/>
        </w:rPr>
      </w:pPr>
      <w:r>
        <w:rPr>
          <w:rFonts w:ascii="Arial" w:cs="Arial" w:eastAsia="Arial" w:hAnsi="Arial"/>
          <w:sz w:val="16"/>
          <w:szCs w:val="16"/>
          <w:b w:val="1"/>
          <w:bCs w:val="1"/>
          <w:color w:val="auto"/>
        </w:rPr>
        <w:t>EXHIBIT 31.2</w:t>
      </w:r>
    </w:p>
    <w:p>
      <w:pPr>
        <w:spacing w:after="0" w:line="180" w:lineRule="exact"/>
        <w:rPr>
          <w:sz w:val="20"/>
          <w:szCs w:val="20"/>
          <w:color w:val="auto"/>
        </w:rPr>
      </w:pPr>
    </w:p>
    <w:p>
      <w:pPr>
        <w:ind w:left="1060"/>
        <w:spacing w:after="0"/>
        <w:rPr>
          <w:sz w:val="20"/>
          <w:szCs w:val="20"/>
          <w:color w:val="auto"/>
        </w:rPr>
      </w:pPr>
      <w:r>
        <w:rPr>
          <w:rFonts w:ascii="Arial" w:cs="Arial" w:eastAsia="Arial" w:hAnsi="Arial"/>
          <w:sz w:val="16"/>
          <w:szCs w:val="16"/>
          <w:b w:val="1"/>
          <w:bCs w:val="1"/>
          <w:color w:val="auto"/>
        </w:rPr>
        <w:t>CERTIFICATION OF THE CHIEF FINANCIAL OFFICER OF GENTEX CORPORATION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 Steven A. Dykman, certify that:</w:t>
      </w:r>
    </w:p>
    <w:p>
      <w:pPr>
        <w:spacing w:after="0" w:line="168" w:lineRule="exact"/>
        <w:rPr>
          <w:sz w:val="20"/>
          <w:szCs w:val="20"/>
          <w:color w:val="auto"/>
        </w:rPr>
      </w:pPr>
    </w:p>
    <w:p>
      <w:pPr>
        <w:ind w:left="660" w:hanging="323"/>
        <w:spacing w:after="0"/>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Gentex Corporation;</w:t>
      </w:r>
    </w:p>
    <w:p>
      <w:pPr>
        <w:spacing w:after="0" w:line="156" w:lineRule="exact"/>
        <w:rPr>
          <w:rFonts w:ascii="Arial" w:cs="Arial" w:eastAsia="Arial" w:hAnsi="Arial"/>
          <w:sz w:val="16"/>
          <w:szCs w:val="16"/>
          <w:color w:val="auto"/>
        </w:rPr>
      </w:pPr>
    </w:p>
    <w:p>
      <w:pPr>
        <w:ind w:left="660" w:right="1599" w:hanging="323"/>
        <w:spacing w:after="0" w:line="244"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43" w:lineRule="exact"/>
        <w:rPr>
          <w:rFonts w:ascii="Arial" w:cs="Arial" w:eastAsia="Arial" w:hAnsi="Arial"/>
          <w:sz w:val="16"/>
          <w:szCs w:val="16"/>
          <w:color w:val="auto"/>
        </w:rPr>
      </w:pPr>
    </w:p>
    <w:p>
      <w:pPr>
        <w:ind w:left="660" w:right="1739" w:hanging="323"/>
        <w:spacing w:after="0" w:line="244"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5" w:lineRule="exact"/>
        <w:rPr>
          <w:rFonts w:ascii="Arial" w:cs="Arial" w:eastAsia="Arial" w:hAnsi="Arial"/>
          <w:sz w:val="16"/>
          <w:szCs w:val="16"/>
          <w:color w:val="auto"/>
        </w:rPr>
      </w:pPr>
    </w:p>
    <w:p>
      <w:pPr>
        <w:ind w:left="660" w:right="1759" w:hanging="323"/>
        <w:spacing w:after="0" w:line="242"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6"/>
          <w:szCs w:val="16"/>
          <w:color w:val="auto"/>
        </w:rPr>
      </w:pPr>
    </w:p>
    <w:p>
      <w:pPr>
        <w:ind w:left="1320" w:right="1699" w:hanging="315"/>
        <w:spacing w:after="0" w:line="242" w:lineRule="auto"/>
        <w:tabs>
          <w:tab w:leader="none" w:pos="13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44" w:lineRule="exact"/>
        <w:rPr>
          <w:rFonts w:ascii="Arial" w:cs="Arial" w:eastAsia="Arial" w:hAnsi="Arial"/>
          <w:sz w:val="16"/>
          <w:szCs w:val="16"/>
          <w:color w:val="auto"/>
        </w:rPr>
      </w:pPr>
    </w:p>
    <w:p>
      <w:pPr>
        <w:ind w:left="1320" w:right="2039" w:hanging="315"/>
        <w:spacing w:after="0" w:line="242" w:lineRule="auto"/>
        <w:tabs>
          <w:tab w:leader="none" w:pos="13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7" w:lineRule="exact"/>
        <w:rPr>
          <w:rFonts w:ascii="Arial" w:cs="Arial" w:eastAsia="Arial" w:hAnsi="Arial"/>
          <w:sz w:val="16"/>
          <w:szCs w:val="16"/>
          <w:color w:val="auto"/>
        </w:rPr>
      </w:pPr>
    </w:p>
    <w:p>
      <w:pPr>
        <w:ind w:left="1320" w:right="1559" w:hanging="315"/>
        <w:spacing w:after="0" w:line="244" w:lineRule="auto"/>
        <w:tabs>
          <w:tab w:leader="none" w:pos="13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end of the period covered by this annual report based on such evaluation; and</w:t>
      </w:r>
    </w:p>
    <w:p>
      <w:pPr>
        <w:spacing w:after="0" w:line="143" w:lineRule="exact"/>
        <w:rPr>
          <w:rFonts w:ascii="Arial" w:cs="Arial" w:eastAsia="Arial" w:hAnsi="Arial"/>
          <w:sz w:val="16"/>
          <w:szCs w:val="16"/>
          <w:color w:val="auto"/>
        </w:rPr>
      </w:pPr>
    </w:p>
    <w:p>
      <w:pPr>
        <w:ind w:left="1320" w:right="1599" w:hanging="315"/>
        <w:spacing w:after="0" w:line="242" w:lineRule="auto"/>
        <w:tabs>
          <w:tab w:leader="none" w:pos="13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Arial" w:cs="Arial" w:eastAsia="Arial" w:hAnsi="Arial"/>
          <w:sz w:val="16"/>
          <w:szCs w:val="16"/>
          <w:color w:val="auto"/>
        </w:rPr>
      </w:pPr>
    </w:p>
    <w:p>
      <w:pPr>
        <w:jc w:val="both"/>
        <w:ind w:left="660" w:right="1599" w:hanging="323"/>
        <w:spacing w:after="0" w:line="244" w:lineRule="auto"/>
        <w:tabs>
          <w:tab w:leader="none" w:pos="6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6"/>
          <w:szCs w:val="16"/>
          <w:color w:val="auto"/>
        </w:rPr>
      </w:pPr>
    </w:p>
    <w:p>
      <w:pPr>
        <w:ind w:left="1320" w:right="1759" w:hanging="315"/>
        <w:spacing w:after="0" w:line="244" w:lineRule="auto"/>
        <w:tabs>
          <w:tab w:leader="none" w:pos="13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6"/>
          <w:szCs w:val="16"/>
          <w:color w:val="auto"/>
        </w:rPr>
      </w:pPr>
    </w:p>
    <w:p>
      <w:pPr>
        <w:ind w:left="1320" w:right="1919" w:hanging="315"/>
        <w:spacing w:after="0" w:line="251" w:lineRule="auto"/>
        <w:tabs>
          <w:tab w:leader="none" w:pos="132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Date: February 23, 2010</w:t>
      </w:r>
    </w:p>
    <w:p>
      <w:pPr>
        <w:spacing w:after="0" w:line="181" w:lineRule="exact"/>
        <w:rPr>
          <w:sz w:val="20"/>
          <w:szCs w:val="20"/>
          <w:color w:val="auto"/>
        </w:rPr>
      </w:pPr>
    </w:p>
    <w:p>
      <w:pPr>
        <w:ind w:left="4040"/>
        <w:spacing w:after="0"/>
        <w:rPr>
          <w:sz w:val="20"/>
          <w:szCs w:val="20"/>
          <w:color w:val="auto"/>
        </w:rPr>
      </w:pPr>
      <w:r>
        <w:rPr>
          <w:rFonts w:ascii="Arial" w:cs="Arial" w:eastAsia="Arial" w:hAnsi="Arial"/>
          <w:sz w:val="16"/>
          <w:szCs w:val="16"/>
          <w:color w:val="auto"/>
        </w:rPr>
        <w:t>/s/ Steven A. Dykman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2567305</wp:posOffset>
            </wp:positionH>
            <wp:positionV relativeFrom="paragraph">
              <wp:posOffset>0</wp:posOffset>
            </wp:positionV>
            <wp:extent cx="1975485"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975485" cy="7620"/>
                    </a:xfrm>
                    <a:prstGeom prst="rect">
                      <a:avLst/>
                    </a:prstGeom>
                    <a:noFill/>
                  </pic:spPr>
                </pic:pic>
              </a:graphicData>
            </a:graphic>
          </wp:anchor>
        </w:drawing>
      </w:r>
    </w:p>
    <w:p>
      <w:pPr>
        <w:ind w:left="4040"/>
        <w:spacing w:after="0"/>
        <w:rPr>
          <w:sz w:val="20"/>
          <w:szCs w:val="20"/>
          <w:color w:val="auto"/>
        </w:rPr>
      </w:pPr>
      <w:r>
        <w:rPr>
          <w:rFonts w:ascii="Arial" w:cs="Arial" w:eastAsia="Arial" w:hAnsi="Arial"/>
          <w:sz w:val="16"/>
          <w:szCs w:val="16"/>
          <w:color w:val="auto"/>
        </w:rPr>
        <w:t>Steven A. Dykman</w:t>
      </w:r>
    </w:p>
    <w:p>
      <w:pPr>
        <w:jc w:val="center"/>
        <w:ind w:right="139"/>
        <w:spacing w:after="0"/>
        <w:rPr>
          <w:sz w:val="20"/>
          <w:szCs w:val="20"/>
          <w:color w:val="auto"/>
        </w:rPr>
      </w:pPr>
      <w:r>
        <w:rPr>
          <w:rFonts w:ascii="Arial" w:cs="Arial" w:eastAsia="Arial" w:hAnsi="Arial"/>
          <w:sz w:val="16"/>
          <w:szCs w:val="16"/>
          <w:color w:val="auto"/>
        </w:rPr>
        <w:t>Vice President, Finance</w:t>
      </w:r>
    </w:p>
    <w:p>
      <w:pPr>
        <w:spacing w:after="0" w:line="200" w:lineRule="exact"/>
        <w:rPr>
          <w:sz w:val="20"/>
          <w:szCs w:val="20"/>
          <w:color w:val="auto"/>
        </w:rPr>
      </w:pPr>
    </w:p>
    <w:p>
      <w:pPr>
        <w:spacing w:after="0" w:line="309"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- 56 -</w:t>
      </w:r>
    </w:p>
    <w:p>
      <w:pPr>
        <w:sectPr>
          <w:pgSz w:w="11900" w:h="16838" w:orient="portrait"/>
          <w:cols w:equalWidth="0" w:num="1">
            <w:col w:w="9939"/>
          </w:cols>
          <w:pgMar w:left="520" w:top="120" w:right="1440" w:bottom="1440" w:gutter="0" w:footer="0" w:header="0"/>
        </w:sectPr>
      </w:pPr>
    </w:p>
    <w:bookmarkStart w:id="60" w:name="page61"/>
    <w:bookmarkEnd w:id="60"/>
    <w:p>
      <w:pPr>
        <w:ind w:left="3780"/>
        <w:spacing w:after="0"/>
        <w:rPr>
          <w:sz w:val="20"/>
          <w:szCs w:val="20"/>
          <w:color w:val="auto"/>
        </w:rPr>
      </w:pPr>
      <w:r>
        <w:rPr>
          <w:rFonts w:ascii="Arial" w:cs="Arial" w:eastAsia="Arial" w:hAnsi="Arial"/>
          <w:sz w:val="16"/>
          <w:szCs w:val="16"/>
          <w:b w:val="1"/>
          <w:bCs w:val="1"/>
          <w:color w:val="auto"/>
        </w:rPr>
        <w:t>EXHIBIT 32</w:t>
      </w:r>
    </w:p>
    <w:p>
      <w:pPr>
        <w:spacing w:after="0" w:line="155"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CERTIFICATE PURSUANT TO SECTION 906 OF THE SARBANES-OXLEY</w:t>
      </w:r>
    </w:p>
    <w:p>
      <w:pPr>
        <w:spacing w:after="0" w:line="18" w:lineRule="exact"/>
        <w:rPr>
          <w:sz w:val="20"/>
          <w:szCs w:val="20"/>
          <w:color w:val="auto"/>
        </w:rPr>
      </w:pPr>
    </w:p>
    <w:p>
      <w:pPr>
        <w:jc w:val="center"/>
        <w:ind w:right="1519"/>
        <w:spacing w:after="0"/>
        <w:rPr>
          <w:sz w:val="20"/>
          <w:szCs w:val="20"/>
          <w:color w:val="auto"/>
        </w:rPr>
      </w:pPr>
      <w:r>
        <w:rPr>
          <w:rFonts w:ascii="Arial" w:cs="Arial" w:eastAsia="Arial" w:hAnsi="Arial"/>
          <w:sz w:val="16"/>
          <w:szCs w:val="16"/>
          <w:b w:val="1"/>
          <w:bCs w:val="1"/>
          <w:color w:val="auto"/>
        </w:rPr>
        <w:t>ACT OF 2002 (18-U.S.C. § 1350)</w:t>
      </w:r>
    </w:p>
    <w:p>
      <w:pPr>
        <w:spacing w:after="0" w:line="168" w:lineRule="exact"/>
        <w:rPr>
          <w:sz w:val="20"/>
          <w:szCs w:val="20"/>
          <w:color w:val="auto"/>
        </w:rPr>
      </w:pPr>
    </w:p>
    <w:p>
      <w:pPr>
        <w:ind w:right="1699"/>
        <w:spacing w:after="0" w:line="244" w:lineRule="auto"/>
        <w:rPr>
          <w:sz w:val="20"/>
          <w:szCs w:val="20"/>
          <w:color w:val="auto"/>
        </w:rPr>
      </w:pPr>
      <w:r>
        <w:rPr>
          <w:rFonts w:ascii="Arial" w:cs="Arial" w:eastAsia="Arial" w:hAnsi="Arial"/>
          <w:sz w:val="16"/>
          <w:szCs w:val="16"/>
          <w:color w:val="auto"/>
        </w:rPr>
        <w:t>Each, Fred T. Bauer, Chief Executive Officer of Gentex Corporation, and Steven A. Dykman, Chief Financial Officer of Gentex Corporation, certify to the best of their knowledge and belief, pursuant to Section 906 of the Sarbanes-Oxley Act of 2002 (18 U.S.C. § 1350), that:</w:t>
      </w:r>
    </w:p>
    <w:p>
      <w:pPr>
        <w:spacing w:after="0" w:line="144" w:lineRule="exact"/>
        <w:rPr>
          <w:sz w:val="20"/>
          <w:szCs w:val="20"/>
          <w:color w:val="auto"/>
        </w:rPr>
      </w:pPr>
    </w:p>
    <w:p>
      <w:pPr>
        <w:ind w:left="660" w:right="1539" w:hanging="323"/>
        <w:spacing w:after="0" w:line="251"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annual report on Form 10-K for the year ended December 31, 2009, which this statement accompanies, fully complies with the requirements of Section 13(a) or 15(d) of the Securities Exchange Act of 1934; and</w:t>
      </w:r>
    </w:p>
    <w:p>
      <w:pPr>
        <w:spacing w:after="0" w:line="137" w:lineRule="exact"/>
        <w:rPr>
          <w:rFonts w:ascii="Arial" w:cs="Arial" w:eastAsia="Arial" w:hAnsi="Arial"/>
          <w:sz w:val="16"/>
          <w:szCs w:val="16"/>
          <w:color w:val="auto"/>
        </w:rPr>
      </w:pPr>
    </w:p>
    <w:p>
      <w:pPr>
        <w:ind w:left="660" w:right="1699" w:hanging="323"/>
        <w:spacing w:after="0" w:line="251" w:lineRule="auto"/>
        <w:tabs>
          <w:tab w:leader="none" w:pos="6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information contained in this annual report on Form 10-K of the year ended December 31, 2009, fairly presents, in all material respects, the financial condition and results of operations of Gentex Corporation.</w:t>
      </w:r>
    </w:p>
    <w:p>
      <w:pPr>
        <w:spacing w:after="0" w:line="162" w:lineRule="exact"/>
        <w:rPr>
          <w:sz w:val="20"/>
          <w:szCs w:val="20"/>
          <w:color w:val="auto"/>
        </w:rPr>
      </w:pPr>
    </w:p>
    <w:p>
      <w:pPr>
        <w:spacing w:after="0"/>
        <w:tabs>
          <w:tab w:leader="none" w:pos="3900" w:val="left"/>
        </w:tabs>
        <w:rPr>
          <w:sz w:val="20"/>
          <w:szCs w:val="20"/>
          <w:color w:val="auto"/>
        </w:rPr>
      </w:pPr>
      <w:r>
        <w:rPr>
          <w:rFonts w:ascii="Arial" w:cs="Arial" w:eastAsia="Arial" w:hAnsi="Arial"/>
          <w:sz w:val="16"/>
          <w:szCs w:val="16"/>
          <w:color w:val="auto"/>
        </w:rPr>
        <w:t>Dated: February 23, 2010</w:t>
      </w:r>
      <w:r>
        <w:rPr>
          <w:sz w:val="20"/>
          <w:szCs w:val="20"/>
          <w:color w:val="auto"/>
        </w:rPr>
        <w:tab/>
      </w:r>
      <w:r>
        <w:rPr>
          <w:rFonts w:ascii="Arial" w:cs="Arial" w:eastAsia="Arial" w:hAnsi="Arial"/>
          <w:sz w:val="16"/>
          <w:szCs w:val="16"/>
          <w:color w:val="auto"/>
        </w:rPr>
        <w:t>GENTEX CORPORATION</w:t>
      </w:r>
    </w:p>
    <w:p>
      <w:pPr>
        <w:spacing w:after="0" w:line="181"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By: /s/ Fred T. Bauer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0</wp:posOffset>
            </wp:positionV>
            <wp:extent cx="186690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866900" cy="7620"/>
                    </a:xfrm>
                    <a:prstGeom prst="rect">
                      <a:avLst/>
                    </a:prstGeom>
                    <a:noFill/>
                  </pic:spPr>
                </pic:pic>
              </a:graphicData>
            </a:graphic>
          </wp:anchor>
        </w:drawing>
      </w:r>
    </w:p>
    <w:p>
      <w:pPr>
        <w:ind w:left="4240"/>
        <w:spacing w:after="0"/>
        <w:rPr>
          <w:sz w:val="20"/>
          <w:szCs w:val="20"/>
          <w:color w:val="auto"/>
        </w:rPr>
      </w:pPr>
      <w:r>
        <w:rPr>
          <w:rFonts w:ascii="Arial" w:cs="Arial" w:eastAsia="Arial" w:hAnsi="Arial"/>
          <w:sz w:val="16"/>
          <w:szCs w:val="16"/>
          <w:color w:val="auto"/>
        </w:rPr>
        <w:t>Fred T. Bauer</w:t>
      </w:r>
    </w:p>
    <w:p>
      <w:pPr>
        <w:ind w:left="4240"/>
        <w:spacing w:after="0"/>
        <w:rPr>
          <w:sz w:val="20"/>
          <w:szCs w:val="20"/>
          <w:color w:val="auto"/>
        </w:rPr>
      </w:pPr>
      <w:r>
        <w:rPr>
          <w:rFonts w:ascii="Arial" w:cs="Arial" w:eastAsia="Arial" w:hAnsi="Arial"/>
          <w:sz w:val="16"/>
          <w:szCs w:val="16"/>
          <w:color w:val="auto"/>
        </w:rPr>
        <w:t>Its Chief Executive Officer</w:t>
      </w:r>
    </w:p>
    <w:p>
      <w:pPr>
        <w:spacing w:after="0" w:line="181" w:lineRule="exact"/>
        <w:rPr>
          <w:sz w:val="20"/>
          <w:szCs w:val="20"/>
          <w:color w:val="auto"/>
        </w:rPr>
      </w:pPr>
    </w:p>
    <w:p>
      <w:pPr>
        <w:ind w:left="3920"/>
        <w:spacing w:after="0"/>
        <w:rPr>
          <w:sz w:val="20"/>
          <w:szCs w:val="20"/>
          <w:color w:val="auto"/>
        </w:rPr>
      </w:pPr>
      <w:r>
        <w:rPr>
          <w:rFonts w:ascii="Arial" w:cs="Arial" w:eastAsia="Arial" w:hAnsi="Arial"/>
          <w:sz w:val="16"/>
          <w:szCs w:val="16"/>
          <w:color w:val="auto"/>
        </w:rPr>
        <w:t>By: /s/ Steven A. Dykman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2698115</wp:posOffset>
            </wp:positionH>
            <wp:positionV relativeFrom="paragraph">
              <wp:posOffset>0</wp:posOffset>
            </wp:positionV>
            <wp:extent cx="186690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866900" cy="7620"/>
                    </a:xfrm>
                    <a:prstGeom prst="rect">
                      <a:avLst/>
                    </a:prstGeom>
                    <a:noFill/>
                  </pic:spPr>
                </pic:pic>
              </a:graphicData>
            </a:graphic>
          </wp:anchor>
        </w:drawing>
      </w:r>
    </w:p>
    <w:p>
      <w:pPr>
        <w:ind w:left="4240"/>
        <w:spacing w:after="0"/>
        <w:rPr>
          <w:sz w:val="20"/>
          <w:szCs w:val="20"/>
          <w:color w:val="auto"/>
        </w:rPr>
      </w:pPr>
      <w:r>
        <w:rPr>
          <w:rFonts w:ascii="Arial" w:cs="Arial" w:eastAsia="Arial" w:hAnsi="Arial"/>
          <w:sz w:val="16"/>
          <w:szCs w:val="16"/>
          <w:color w:val="auto"/>
        </w:rPr>
        <w:t>Steven A. Dykman</w:t>
      </w:r>
    </w:p>
    <w:p>
      <w:pPr>
        <w:ind w:left="4240"/>
        <w:spacing w:after="0" w:line="237" w:lineRule="auto"/>
        <w:rPr>
          <w:sz w:val="20"/>
          <w:szCs w:val="20"/>
          <w:color w:val="auto"/>
        </w:rPr>
      </w:pPr>
      <w:r>
        <w:rPr>
          <w:rFonts w:ascii="Arial" w:cs="Arial" w:eastAsia="Arial" w:hAnsi="Arial"/>
          <w:sz w:val="16"/>
          <w:szCs w:val="16"/>
          <w:color w:val="auto"/>
        </w:rPr>
        <w:t>Its Vice President-Finance/Chief</w:t>
      </w:r>
    </w:p>
    <w:p>
      <w:pPr>
        <w:spacing w:after="0" w:line="1" w:lineRule="exact"/>
        <w:rPr>
          <w:sz w:val="20"/>
          <w:szCs w:val="20"/>
          <w:color w:val="auto"/>
        </w:rPr>
      </w:pPr>
    </w:p>
    <w:p>
      <w:pPr>
        <w:ind w:left="4240"/>
        <w:spacing w:after="0"/>
        <w:rPr>
          <w:sz w:val="20"/>
          <w:szCs w:val="20"/>
          <w:color w:val="auto"/>
        </w:rPr>
      </w:pPr>
      <w:r>
        <w:rPr>
          <w:rFonts w:ascii="Arial" w:cs="Arial" w:eastAsia="Arial" w:hAnsi="Arial"/>
          <w:sz w:val="16"/>
          <w:szCs w:val="16"/>
          <w:color w:val="auto"/>
        </w:rPr>
        <w:t>Financial Officer</w:t>
      </w:r>
    </w:p>
    <w:p>
      <w:pPr>
        <w:spacing w:after="0" w:line="168" w:lineRule="exact"/>
        <w:rPr>
          <w:sz w:val="20"/>
          <w:szCs w:val="20"/>
          <w:color w:val="auto"/>
        </w:rPr>
      </w:pPr>
    </w:p>
    <w:p>
      <w:pPr>
        <w:ind w:right="1739"/>
        <w:spacing w:after="0" w:line="251" w:lineRule="auto"/>
        <w:rPr>
          <w:sz w:val="20"/>
          <w:szCs w:val="20"/>
          <w:color w:val="auto"/>
        </w:rPr>
      </w:pPr>
      <w:r>
        <w:rPr>
          <w:rFonts w:ascii="Arial" w:cs="Arial" w:eastAsia="Arial" w:hAnsi="Arial"/>
          <w:sz w:val="16"/>
          <w:szCs w:val="16"/>
          <w:color w:val="auto"/>
        </w:rPr>
        <w:t>A signed original of this written statement has been provided to Gentex Corporation and will be retained by Gentex Corporation and furnished to the Securities and Exchange Commission or its staff upon request.</w:t>
      </w:r>
    </w:p>
    <w:p>
      <w:pPr>
        <w:spacing w:after="0" w:line="200" w:lineRule="exact"/>
        <w:rPr>
          <w:sz w:val="20"/>
          <w:szCs w:val="20"/>
          <w:color w:val="auto"/>
        </w:rPr>
      </w:pPr>
    </w:p>
    <w:p>
      <w:pPr>
        <w:spacing w:after="0" w:line="278" w:lineRule="exact"/>
        <w:rPr>
          <w:sz w:val="20"/>
          <w:szCs w:val="20"/>
          <w:color w:val="auto"/>
        </w:rPr>
      </w:pPr>
    </w:p>
    <w:p>
      <w:pPr>
        <w:ind w:left="4020"/>
        <w:spacing w:after="0"/>
        <w:rPr>
          <w:sz w:val="20"/>
          <w:szCs w:val="20"/>
          <w:color w:val="auto"/>
        </w:rPr>
      </w:pPr>
      <w:r>
        <w:rPr>
          <w:rFonts w:ascii="Arial" w:cs="Arial" w:eastAsia="Arial" w:hAnsi="Arial"/>
          <w:sz w:val="16"/>
          <w:szCs w:val="16"/>
          <w:color w:val="auto"/>
        </w:rPr>
        <w:t>- 57 -</w:t>
      </w:r>
    </w:p>
    <w:sectPr>
      <w:pgSz w:w="11900" w:h="16838" w:orient="portrait"/>
      <w:cols w:equalWidth="0" w:num="1">
        <w:col w:w="9939"/>
      </w:cols>
      <w:pgMar w:left="520" w:top="1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o"/>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lowerLetter"/>
      <w:start w:val="1"/>
    </w:lvl>
    <w:lvl w:ilvl="1">
      <w:lvlJc w:val="left"/>
      <w:lvlText w:val="-"/>
      <w:numFmt w:val="bullet"/>
      <w:start w:val="1"/>
    </w:lvl>
  </w:abstractNum>
  <w:abstractNum w:abstractNumId="4">
    <w:nsid w:val="257130A3"/>
    <w:multiLevelType w:val="hybridMultilevel"/>
    <w:lvl w:ilvl="0">
      <w:lvlJc w:val="left"/>
      <w:lvlText w:val="(%1)"/>
      <w:numFmt w:val="lowerLetter"/>
      <w:start w:val="2"/>
    </w:lvl>
  </w:abstractNum>
  <w:abstractNum w:abstractNumId="5">
    <w:nsid w:val="62BBD95A"/>
    <w:multiLevelType w:val="hybridMultilevel"/>
    <w:lvl w:ilvl="0">
      <w:lvlJc w:val="left"/>
      <w:lvlText w:val="(%1)"/>
      <w:numFmt w:val="lowerLetter"/>
      <w:start w:val="4"/>
    </w:lvl>
  </w:abstractNum>
  <w:abstractNum w:abstractNumId="6">
    <w:nsid w:val="436C6125"/>
    <w:multiLevelType w:val="hybridMultilevel"/>
    <w:lvl w:ilvl="0">
      <w:lvlJc w:val="left"/>
      <w:lvlText w:val="•"/>
      <w:numFmt w:val="bullet"/>
      <w:start w:val="1"/>
    </w:lvl>
    <w:lvl w:ilvl="1">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1)"/>
      <w:numFmt w:val="lowerLetter"/>
      <w:start w:val="1"/>
    </w:lvl>
  </w:abstractNum>
  <w:abstractNum w:abstractNumId="9">
    <w:nsid w:val="721DA317"/>
    <w:multiLevelType w:val="hybridMultilevel"/>
    <w:lvl w:ilvl="0">
      <w:lvlJc w:val="left"/>
      <w:lvlText w:val="(%1)"/>
      <w:numFmt w:val="lowerLetter"/>
      <w:start w:val="2"/>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lowerLetter"/>
      <w:start w:val="1"/>
    </w:lvl>
    <w:lvl w:ilvl="1">
      <w:lvlJc w:val="left"/>
      <w:lvlText w:val="%2."/>
      <w:numFmt w:val="decimal"/>
      <w:start w:val="2"/>
    </w:lvl>
    <w:lvl w:ilvl="2">
      <w:lvlJc w:val="left"/>
      <w:lvlText w:val="-"/>
      <w:numFmt w:val="bullet"/>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
      <w:numFmt w:val="bullet"/>
      <w:start w:val="1"/>
    </w:lvl>
    <w:lvl w:ilvl="1">
      <w:lvlJc w:val="left"/>
      <w:lvlText w:val="-"/>
      <w:numFmt w:val="bullet"/>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decimal"/>
      <w:start w:val="1"/>
    </w:lvl>
  </w:abstractNum>
  <w:abstractNum w:abstractNumId="17">
    <w:nsid w:val="B03E0C6"/>
    <w:multiLevelType w:val="hybridMultilevel"/>
    <w:lvl w:ilvl="0">
      <w:lvlJc w:val="left"/>
      <w:lvlText w:val="(%1)"/>
      <w:numFmt w:val="decimal"/>
      <w:start w:val="1"/>
    </w:lvl>
  </w:abstractNum>
  <w:abstractNum w:abstractNumId="18">
    <w:nsid w:val="189A769B"/>
    <w:multiLevelType w:val="hybridMultilevel"/>
    <w:lvl w:ilvl="0">
      <w:lvlJc w:val="left"/>
      <w:lvlText w:val="(%1)"/>
      <w:numFmt w:val="decimal"/>
      <w:start w:val="1"/>
    </w:lvl>
    <w:lvl w:ilvl="1">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3"/>
    </w:lvl>
  </w:abstractNum>
  <w:abstractNum w:abstractNumId="21">
    <w:nsid w:val="2CA88611"/>
    <w:multiLevelType w:val="hybridMultilevel"/>
    <w:lvl w:ilvl="0">
      <w:lvlJc w:val="left"/>
      <w:lvlText w:val="(%1)"/>
      <w:numFmt w:val="decimal"/>
      <w:start w:val="3"/>
    </w:lvl>
  </w:abstractNum>
  <w:abstractNum w:abstractNumId="22">
    <w:nsid w:val="836C40E"/>
    <w:multiLevelType w:val="hybridMultilevel"/>
    <w:lvl w:ilvl="0">
      <w:lvlJc w:val="left"/>
      <w:lvlText w:val="(%1)"/>
      <w:numFmt w:val="decimal"/>
      <w:start w:val="4"/>
    </w:lvl>
    <w:lvl w:ilvl="1">
      <w:lvlJc w:val="left"/>
      <w:lvlText w:val="-"/>
      <w:numFmt w:val="bullet"/>
      <w:start w:val="1"/>
    </w:lvl>
  </w:abstractNum>
  <w:abstractNum w:abstractNumId="23">
    <w:nsid w:val="2901D82"/>
    <w:multiLevelType w:val="hybridMultilevel"/>
    <w:lvl w:ilvl="0">
      <w:lvlJc w:val="left"/>
      <w:lvlText w:val="(%1)"/>
      <w:numFmt w:val="decimal"/>
      <w:start w:val="5"/>
    </w:lvl>
  </w:abstractNum>
  <w:abstractNum w:abstractNumId="24">
    <w:nsid w:val="3A95F874"/>
    <w:multiLevelType w:val="hybridMultilevel"/>
    <w:lvl w:ilvl="0">
      <w:lvlJc w:val="left"/>
      <w:lvlText w:val="(%1)"/>
      <w:numFmt w:val="decimal"/>
      <w:start w:val="6"/>
    </w:lvl>
  </w:abstractNum>
  <w:abstractNum w:abstractNumId="25">
    <w:nsid w:val="8138641"/>
    <w:multiLevelType w:val="hybridMultilevel"/>
    <w:lvl w:ilvl="0">
      <w:lvlJc w:val="left"/>
      <w:lvlText w:val="(%1)"/>
      <w:numFmt w:val="decimal"/>
      <w:start w:val="6"/>
    </w:lvl>
    <w:lvl w:ilvl="1">
      <w:lvlJc w:val="left"/>
      <w:lvlText w:val="-"/>
      <w:numFmt w:val="bullet"/>
      <w:start w:val="1"/>
    </w:lvl>
  </w:abstractNum>
  <w:abstractNum w:abstractNumId="26">
    <w:nsid w:val="1E7FF521"/>
    <w:multiLevelType w:val="hybridMultilevel"/>
    <w:lvl w:ilvl="0">
      <w:lvlJc w:val="left"/>
      <w:lvlText w:val="(%1)"/>
      <w:numFmt w:val="decimal"/>
      <w:start w:val="8"/>
    </w:lvl>
  </w:abstractNum>
  <w:abstractNum w:abstractNumId="27">
    <w:nsid w:val="7C3DBD3D"/>
    <w:multiLevelType w:val="hybridMultilevel"/>
    <w:lvl w:ilvl="0">
      <w:lvlJc w:val="left"/>
      <w:lvlText w:val="(%1)"/>
      <w:numFmt w:val="decimal"/>
      <w:start w:val="8"/>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1"/>
    </w:lvl>
    <w:lvl w:ilvl="1">
      <w:lvlJc w:val="left"/>
      <w:lvlText w:val="%2)"/>
      <w:numFmt w:val="lowerLetter"/>
      <w:start w:val="1"/>
    </w:lvl>
  </w:abstractNum>
  <w:abstractNum w:abstractNumId="32">
    <w:nsid w:val="3006C83E"/>
    <w:multiLevelType w:val="hybridMultilevel"/>
    <w:lvl w:ilvl="0">
      <w:lvlJc w:val="left"/>
      <w:lvlText w:val="%1."/>
      <w:numFmt w:val="decimal"/>
      <w:start w:val="1"/>
    </w:lvl>
    <w:lvl w:ilvl="1">
      <w:lvlJc w:val="left"/>
      <w:lvlText w:val="%2)"/>
      <w:numFmt w:val="lowerLetter"/>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2019-12-10T04:20:20Z</dcterms:created>
  <dcterms:modified xsi:type="dcterms:W3CDTF">2019-12-10T04:20:20Z</dcterms:modified>
</cp:coreProperties>
</file>