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jc w:val="center"/>
        <w:ind w:right="-39"/>
        <w:spacing w:after="0"/>
        <w:rPr>
          <w:sz w:val="20"/>
          <w:szCs w:val="20"/>
          <w:color w:val="auto"/>
        </w:rPr>
      </w:pPr>
      <w:r>
        <w:rPr>
          <w:rFonts w:ascii="Arial" w:cs="Arial" w:eastAsia="Arial" w:hAnsi="Arial"/>
          <w:sz w:val="20"/>
          <w:szCs w:val="20"/>
          <w:b w:val="1"/>
          <w:bCs w:val="1"/>
          <w:color w:val="auto"/>
        </w:rPr>
        <w:t>FORM 10-K</w:t>
      </w:r>
    </w:p>
    <w:p>
      <w:pPr>
        <w:sectPr>
          <w:pgSz w:w="11900" w:h="16838" w:orient="portrait"/>
          <w:cols w:equalWidth="0" w:num="1">
            <w:col w:w="11380"/>
          </w:cols>
          <w:pgMar w:left="240" w:top="742" w:right="279" w:bottom="0" w:gutter="0" w:footer="0" w:header="0"/>
        </w:sectPr>
      </w:pPr>
    </w:p>
    <w:p>
      <w:pPr>
        <w:spacing w:after="0" w:line="159" w:lineRule="exact"/>
        <w:rPr>
          <w:sz w:val="24"/>
          <w:szCs w:val="24"/>
          <w:color w:val="auto"/>
        </w:rPr>
      </w:pPr>
    </w:p>
    <w:p>
      <w:pPr>
        <w:ind w:left="18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371" w:lineRule="exact"/>
        <w:rPr>
          <w:sz w:val="24"/>
          <w:szCs w:val="24"/>
          <w:color w:val="auto"/>
        </w:rPr>
      </w:pPr>
    </w:p>
    <w:p>
      <w:pPr>
        <w:ind w:left="200"/>
        <w:spacing w:after="0"/>
        <w:rPr>
          <w:sz w:val="20"/>
          <w:szCs w:val="20"/>
          <w:color w:val="auto"/>
        </w:rPr>
      </w:pPr>
      <w:r>
        <w:rPr>
          <w:rFonts w:ascii="Arial" w:cs="Arial" w:eastAsia="Arial" w:hAnsi="Arial"/>
          <w:sz w:val="22"/>
          <w:szCs w:val="22"/>
          <w:color w:val="auto"/>
        </w:rPr>
        <w:t>( )</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ind w:left="180" w:right="1740"/>
        <w:spacing w:after="0" w:line="286" w:lineRule="auto"/>
        <w:rPr>
          <w:sz w:val="20"/>
          <w:szCs w:val="20"/>
          <w:color w:val="auto"/>
        </w:rPr>
      </w:pPr>
      <w:r>
        <w:rPr>
          <w:rFonts w:ascii="Arial" w:cs="Arial" w:eastAsia="Arial" w:hAnsi="Arial"/>
          <w:sz w:val="16"/>
          <w:szCs w:val="16"/>
          <w:b w:val="1"/>
          <w:bCs w:val="1"/>
          <w:color w:val="auto"/>
        </w:rPr>
        <w:t xml:space="preserve">ANNUAL REPORT PURSUANT TO SECTION 13 OR 15(d) OF THE SECURITIES EXCHANGE ACT OF 1934 for the fiscal year ended </w:t>
      </w:r>
      <w:r>
        <w:rPr>
          <w:rFonts w:ascii="Arial" w:cs="Arial" w:eastAsia="Arial" w:hAnsi="Arial"/>
          <w:sz w:val="16"/>
          <w:szCs w:val="16"/>
          <w:b w:val="1"/>
          <w:bCs w:val="1"/>
          <w:u w:val="single" w:color="auto"/>
          <w:color w:val="auto"/>
        </w:rPr>
        <w:t>December 31, 2017</w:t>
      </w:r>
      <w:r>
        <w:rPr>
          <w:rFonts w:ascii="Arial" w:cs="Arial" w:eastAsia="Arial" w:hAnsi="Arial"/>
          <w:sz w:val="16"/>
          <w:szCs w:val="16"/>
          <w:b w:val="1"/>
          <w:bCs w:val="1"/>
          <w:color w:val="auto"/>
        </w:rPr>
        <w:t xml:space="preserve"> or</w:t>
      </w:r>
    </w:p>
    <w:p>
      <w:pPr>
        <w:spacing w:after="0" w:line="385" w:lineRule="exact"/>
        <w:rPr>
          <w:sz w:val="24"/>
          <w:szCs w:val="24"/>
          <w:color w:val="auto"/>
        </w:rPr>
      </w:pPr>
    </w:p>
    <w:p>
      <w:pPr>
        <w:ind w:left="1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For the transition period from __________ to _________</w:t>
      </w:r>
    </w:p>
    <w:p>
      <w:pPr>
        <w:spacing w:after="0" w:line="120" w:lineRule="exact"/>
        <w:rPr>
          <w:sz w:val="24"/>
          <w:szCs w:val="24"/>
          <w:color w:val="auto"/>
        </w:rPr>
      </w:pPr>
    </w:p>
    <w:p>
      <w:pPr>
        <w:sectPr>
          <w:pgSz w:w="11900" w:h="16838" w:orient="portrait"/>
          <w:cols w:equalWidth="0" w:num="2">
            <w:col w:w="440" w:space="0"/>
            <w:col w:w="10940"/>
          </w:cols>
          <w:pgMar w:left="240" w:top="742" w:right="279" w:bottom="0" w:gutter="0" w:footer="0" w:header="0"/>
          <w:type w:val="continuous"/>
        </w:sectPr>
      </w:pPr>
    </w:p>
    <w:p>
      <w:pPr>
        <w:spacing w:after="0"/>
        <w:rPr>
          <w:sz w:val="20"/>
          <w:szCs w:val="20"/>
          <w:color w:val="auto"/>
        </w:rPr>
      </w:pPr>
      <w:r>
        <w:rPr>
          <w:rFonts w:ascii="Arial" w:cs="Arial" w:eastAsia="Arial" w:hAnsi="Arial"/>
          <w:sz w:val="16"/>
          <w:szCs w:val="16"/>
          <w:color w:val="auto"/>
        </w:rPr>
        <w:t>Commission File No.</w:t>
      </w:r>
      <w:r>
        <w:rPr>
          <w:rFonts w:ascii="Arial" w:cs="Arial" w:eastAsia="Arial" w:hAnsi="Arial"/>
          <w:sz w:val="16"/>
          <w:szCs w:val="16"/>
          <w:b w:val="1"/>
          <w:bCs w:val="1"/>
          <w:color w:val="auto"/>
        </w:rPr>
        <w:t>: 0-10235</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3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00" w:type="dxa"/>
            <w:vAlign w:val="bottom"/>
            <w:gridSpan w:val="2"/>
          </w:tcPr>
          <w:p>
            <w:pPr>
              <w:jc w:val="center"/>
              <w:ind w:right="2068"/>
              <w:spacing w:after="0"/>
              <w:rPr>
                <w:sz w:val="20"/>
                <w:szCs w:val="20"/>
                <w:color w:val="auto"/>
              </w:rPr>
            </w:pPr>
            <w:r>
              <w:rPr>
                <w:rFonts w:ascii="Arial" w:cs="Arial" w:eastAsia="Arial" w:hAnsi="Arial"/>
                <w:sz w:val="22"/>
                <w:szCs w:val="22"/>
                <w:b w:val="1"/>
                <w:bCs w:val="1"/>
                <w:color w:val="auto"/>
                <w:w w:val="97"/>
              </w:rPr>
              <w:t>GENTEX CORPORATION</w:t>
            </w:r>
          </w:p>
        </w:tc>
      </w:tr>
      <w:tr>
        <w:trPr>
          <w:trHeight w:val="172"/>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100" w:type="dxa"/>
            <w:vAlign w:val="bottom"/>
            <w:gridSpan w:val="2"/>
          </w:tcPr>
          <w:p>
            <w:pPr>
              <w:jc w:val="center"/>
              <w:ind w:right="2068"/>
              <w:spacing w:after="0"/>
              <w:rPr>
                <w:sz w:val="20"/>
                <w:szCs w:val="20"/>
                <w:color w:val="auto"/>
              </w:rPr>
            </w:pPr>
            <w:r>
              <w:rPr>
                <w:rFonts w:ascii="Arial" w:cs="Arial" w:eastAsia="Arial" w:hAnsi="Arial"/>
                <w:sz w:val="14"/>
                <w:szCs w:val="14"/>
                <w:color w:val="auto"/>
              </w:rPr>
              <w:t>(Exact name of registrant as specified in its charter)</w:t>
            </w:r>
          </w:p>
        </w:tc>
      </w:tr>
      <w:tr>
        <w:trPr>
          <w:trHeight w:val="344"/>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rPr>
              <w:t>Michigan</w:t>
            </w:r>
          </w:p>
        </w:tc>
        <w:tc>
          <w:tcPr>
            <w:tcW w:w="6440" w:type="dxa"/>
            <w:vAlign w:val="bottom"/>
            <w:gridSpan w:val="3"/>
          </w:tcPr>
          <w:p>
            <w:pPr>
              <w:jc w:val="right"/>
              <w:ind w:right="1108"/>
              <w:spacing w:after="0"/>
              <w:rPr>
                <w:sz w:val="20"/>
                <w:szCs w:val="20"/>
                <w:color w:val="auto"/>
              </w:rPr>
            </w:pPr>
            <w:r>
              <w:rPr>
                <w:rFonts w:ascii="Arial" w:cs="Arial" w:eastAsia="Arial" w:hAnsi="Arial"/>
                <w:sz w:val="16"/>
                <w:szCs w:val="16"/>
                <w:b w:val="1"/>
                <w:bCs w:val="1"/>
                <w:color w:val="auto"/>
              </w:rPr>
              <w:t>38-2030505</w:t>
            </w:r>
          </w:p>
        </w:tc>
      </w:tr>
      <w:tr>
        <w:trPr>
          <w:trHeight w:val="213"/>
        </w:trPr>
        <w:tc>
          <w:tcPr>
            <w:tcW w:w="3400" w:type="dxa"/>
            <w:vAlign w:val="bottom"/>
          </w:tcPr>
          <w:p>
            <w:pPr>
              <w:jc w:val="center"/>
              <w:spacing w:after="0"/>
              <w:rPr>
                <w:sz w:val="20"/>
                <w:szCs w:val="20"/>
                <w:color w:val="auto"/>
              </w:rPr>
            </w:pPr>
            <w:r>
              <w:rPr>
                <w:rFonts w:ascii="Arial" w:cs="Arial" w:eastAsia="Arial" w:hAnsi="Arial"/>
                <w:sz w:val="14"/>
                <w:szCs w:val="14"/>
                <w:color w:val="auto"/>
              </w:rPr>
              <w:t>State or other jurisdiction of</w:t>
            </w:r>
          </w:p>
        </w:tc>
        <w:tc>
          <w:tcPr>
            <w:tcW w:w="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40" w:type="dxa"/>
            <w:vAlign w:val="bottom"/>
          </w:tcPr>
          <w:p>
            <w:pPr>
              <w:jc w:val="center"/>
              <w:ind w:left="348"/>
              <w:spacing w:after="0"/>
              <w:rPr>
                <w:sz w:val="20"/>
                <w:szCs w:val="20"/>
                <w:color w:val="auto"/>
              </w:rPr>
            </w:pPr>
            <w:r>
              <w:rPr>
                <w:rFonts w:ascii="Arial" w:cs="Arial" w:eastAsia="Arial" w:hAnsi="Arial"/>
                <w:sz w:val="14"/>
                <w:szCs w:val="14"/>
                <w:color w:val="auto"/>
              </w:rPr>
              <w:t>(I.R.S. Employer</w:t>
            </w:r>
          </w:p>
        </w:tc>
      </w:tr>
      <w:tr>
        <w:trPr>
          <w:trHeight w:val="172"/>
        </w:trPr>
        <w:tc>
          <w:tcPr>
            <w:tcW w:w="3400" w:type="dxa"/>
            <w:vAlign w:val="bottom"/>
          </w:tcPr>
          <w:p>
            <w:pPr>
              <w:jc w:val="center"/>
              <w:spacing w:after="0"/>
              <w:rPr>
                <w:sz w:val="20"/>
                <w:szCs w:val="20"/>
                <w:color w:val="auto"/>
              </w:rPr>
            </w:pPr>
            <w:r>
              <w:rPr>
                <w:rFonts w:ascii="Arial" w:cs="Arial" w:eastAsia="Arial" w:hAnsi="Arial"/>
                <w:sz w:val="14"/>
                <w:szCs w:val="14"/>
                <w:color w:val="auto"/>
              </w:rPr>
              <w:t>incorporation or organization</w:t>
            </w:r>
          </w:p>
        </w:tc>
        <w:tc>
          <w:tcPr>
            <w:tcW w:w="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40" w:type="dxa"/>
            <w:vAlign w:val="bottom"/>
          </w:tcPr>
          <w:p>
            <w:pPr>
              <w:jc w:val="center"/>
              <w:ind w:left="368"/>
              <w:spacing w:after="0"/>
              <w:rPr>
                <w:sz w:val="20"/>
                <w:szCs w:val="20"/>
                <w:color w:val="auto"/>
              </w:rPr>
            </w:pPr>
            <w:r>
              <w:rPr>
                <w:rFonts w:ascii="Arial" w:cs="Arial" w:eastAsia="Arial" w:hAnsi="Arial"/>
                <w:sz w:val="14"/>
                <w:szCs w:val="14"/>
                <w:color w:val="auto"/>
              </w:rPr>
              <w:t>Identification No.)</w:t>
            </w:r>
          </w:p>
        </w:tc>
      </w:tr>
      <w:tr>
        <w:trPr>
          <w:trHeight w:val="332"/>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rPr>
              <w:t>600 N. Centennial Street,</w:t>
            </w:r>
          </w:p>
        </w:tc>
        <w:tc>
          <w:tcPr>
            <w:tcW w:w="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5"/>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rPr>
              <w:t>Zeeland, Michigan</w:t>
            </w:r>
          </w:p>
        </w:tc>
        <w:tc>
          <w:tcPr>
            <w:tcW w:w="6440" w:type="dxa"/>
            <w:vAlign w:val="bottom"/>
            <w:gridSpan w:val="3"/>
          </w:tcPr>
          <w:p>
            <w:pPr>
              <w:jc w:val="right"/>
              <w:ind w:right="1308"/>
              <w:spacing w:after="0"/>
              <w:rPr>
                <w:sz w:val="20"/>
                <w:szCs w:val="20"/>
                <w:color w:val="auto"/>
              </w:rPr>
            </w:pPr>
            <w:r>
              <w:rPr>
                <w:rFonts w:ascii="Arial" w:cs="Arial" w:eastAsia="Arial" w:hAnsi="Arial"/>
                <w:sz w:val="16"/>
                <w:szCs w:val="16"/>
                <w:b w:val="1"/>
                <w:bCs w:val="1"/>
                <w:color w:val="auto"/>
              </w:rPr>
              <w:t>49464</w:t>
            </w:r>
          </w:p>
        </w:tc>
      </w:tr>
      <w:tr>
        <w:trPr>
          <w:trHeight w:val="224"/>
        </w:trPr>
        <w:tc>
          <w:tcPr>
            <w:tcW w:w="3400" w:type="dxa"/>
            <w:vAlign w:val="bottom"/>
          </w:tcPr>
          <w:p>
            <w:pPr>
              <w:jc w:val="center"/>
              <w:spacing w:after="0"/>
              <w:rPr>
                <w:sz w:val="20"/>
                <w:szCs w:val="20"/>
                <w:color w:val="auto"/>
              </w:rPr>
            </w:pPr>
            <w:r>
              <w:rPr>
                <w:rFonts w:ascii="Arial" w:cs="Arial" w:eastAsia="Arial" w:hAnsi="Arial"/>
                <w:sz w:val="14"/>
                <w:szCs w:val="14"/>
                <w:color w:val="auto"/>
              </w:rPr>
              <w:t>(Address of principal executive offices)</w:t>
            </w:r>
          </w:p>
        </w:tc>
        <w:tc>
          <w:tcPr>
            <w:tcW w:w="3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640" w:type="dxa"/>
            <w:vAlign w:val="bottom"/>
          </w:tcPr>
          <w:p>
            <w:pPr>
              <w:jc w:val="center"/>
              <w:ind w:left="368"/>
              <w:spacing w:after="0"/>
              <w:rPr>
                <w:sz w:val="20"/>
                <w:szCs w:val="20"/>
                <w:color w:val="auto"/>
              </w:rPr>
            </w:pPr>
            <w:r>
              <w:rPr>
                <w:rFonts w:ascii="Arial" w:cs="Arial" w:eastAsia="Arial" w:hAnsi="Arial"/>
                <w:sz w:val="14"/>
                <w:szCs w:val="14"/>
                <w:color w:val="auto"/>
              </w:rPr>
              <w:t>(Zip Code)</w:t>
            </w:r>
          </w:p>
        </w:tc>
      </w:tr>
      <w:tr>
        <w:trPr>
          <w:trHeight w:val="324"/>
        </w:trPr>
        <w:tc>
          <w:tcPr>
            <w:tcW w:w="3400" w:type="dxa"/>
            <w:vAlign w:val="bottom"/>
          </w:tcPr>
          <w:p>
            <w:pPr>
              <w:spacing w:after="0"/>
              <w:rPr>
                <w:sz w:val="24"/>
                <w:szCs w:val="24"/>
                <w:color w:val="auto"/>
              </w:rPr>
            </w:pPr>
          </w:p>
        </w:tc>
        <w:tc>
          <w:tcPr>
            <w:tcW w:w="6440" w:type="dxa"/>
            <w:vAlign w:val="bottom"/>
            <w:gridSpan w:val="3"/>
          </w:tcPr>
          <w:p>
            <w:pPr>
              <w:jc w:val="center"/>
              <w:ind w:right="1748"/>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(616) 772-1800</w:t>
            </w:r>
          </w:p>
        </w:tc>
      </w:tr>
      <w:tr>
        <w:trPr>
          <w:trHeight w:val="297"/>
        </w:trPr>
        <w:tc>
          <w:tcPr>
            <w:tcW w:w="984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330"/>
        </w:trPr>
        <w:tc>
          <w:tcPr>
            <w:tcW w:w="3400" w:type="dxa"/>
            <w:vAlign w:val="bottom"/>
            <w:tcBorders>
              <w:bottom w:val="single" w:sz="8" w:color="auto"/>
            </w:tcBorders>
          </w:tcPr>
          <w:p>
            <w:pPr>
              <w:jc w:val="center"/>
              <w:ind w:left="265"/>
              <w:spacing w:after="0"/>
              <w:rPr>
                <w:sz w:val="20"/>
                <w:szCs w:val="20"/>
                <w:color w:val="auto"/>
              </w:rPr>
            </w:pPr>
            <w:r>
              <w:rPr>
                <w:rFonts w:ascii="Arial" w:cs="Arial" w:eastAsia="Arial" w:hAnsi="Arial"/>
                <w:sz w:val="14"/>
                <w:szCs w:val="14"/>
                <w:color w:val="auto"/>
              </w:rPr>
              <w:t>Title of each Class</w:t>
            </w:r>
          </w:p>
        </w:tc>
        <w:tc>
          <w:tcPr>
            <w:tcW w:w="34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04"/>
        </w:trPr>
        <w:tc>
          <w:tcPr>
            <w:tcW w:w="3400" w:type="dxa"/>
            <w:vAlign w:val="bottom"/>
          </w:tcPr>
          <w:p>
            <w:pPr>
              <w:jc w:val="center"/>
              <w:ind w:left="285"/>
              <w:spacing w:after="0"/>
              <w:rPr>
                <w:sz w:val="20"/>
                <w:szCs w:val="20"/>
                <w:color w:val="auto"/>
              </w:rPr>
            </w:pPr>
            <w:r>
              <w:rPr>
                <w:rFonts w:ascii="Arial" w:cs="Arial" w:eastAsia="Arial" w:hAnsi="Arial"/>
                <w:sz w:val="14"/>
                <w:szCs w:val="14"/>
                <w:b w:val="1"/>
                <w:bCs w:val="1"/>
                <w:color w:val="auto"/>
              </w:rPr>
              <w:t>Common Stock, par value $.06 per share</w:t>
            </w:r>
          </w:p>
        </w:tc>
        <w:tc>
          <w:tcPr>
            <w:tcW w:w="3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15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None</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(Title of Class)</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11" w:lineRule="exact"/>
        <w:rPr>
          <w:sz w:val="24"/>
          <w:szCs w:val="24"/>
          <w:color w:val="auto"/>
        </w:rPr>
      </w:pPr>
    </w:p>
    <w:p>
      <w:pPr>
        <w:ind w:left="660"/>
        <w:spacing w:after="0" w:line="207" w:lineRule="exact"/>
        <w:tabs>
          <w:tab w:leader="none" w:pos="13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Arial" w:cs="Arial" w:eastAsia="Arial" w:hAnsi="Arial"/>
          <w:sz w:val="18"/>
          <w:szCs w:val="18"/>
          <w:color w:val="auto"/>
        </w:rPr>
        <w:t>o</w:t>
      </w:r>
    </w:p>
    <w:p>
      <w:pPr>
        <w:spacing w:after="0" w:line="22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84" w:lineRule="exact"/>
        <w:rPr>
          <w:sz w:val="24"/>
          <w:szCs w:val="24"/>
          <w:color w:val="auto"/>
        </w:rPr>
      </w:pPr>
    </w:p>
    <w:p>
      <w:pPr>
        <w:ind w:left="660"/>
        <w:spacing w:after="0" w:line="207" w:lineRule="exact"/>
        <w:tabs>
          <w:tab w:leader="none" w:pos="1320" w:val="left"/>
          <w:tab w:leader="none" w:pos="1660" w:val="left"/>
        </w:tabs>
        <w:rPr>
          <w:sz w:val="20"/>
          <w:szCs w:val="20"/>
          <w:color w:val="auto"/>
        </w:rPr>
      </w:pPr>
      <w:r>
        <w:rPr>
          <w:rFonts w:ascii="Arial" w:cs="Arial" w:eastAsia="Arial" w:hAnsi="Arial"/>
          <w:sz w:val="14"/>
          <w:szCs w:val="14"/>
          <w:color w:val="auto"/>
        </w:rPr>
        <w:t xml:space="preserve">Yes: </w:t>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6"/>
          <w:szCs w:val="16"/>
          <w:color w:val="auto"/>
        </w:rPr>
        <w:t>☑</w:t>
      </w:r>
    </w:p>
    <w:p>
      <w:pPr>
        <w:spacing w:after="0" w:line="196" w:lineRule="exact"/>
        <w:rPr>
          <w:sz w:val="24"/>
          <w:szCs w:val="24"/>
          <w:color w:val="auto"/>
        </w:rPr>
      </w:pPr>
    </w:p>
    <w:p>
      <w:pPr>
        <w:ind w:right="240"/>
        <w:spacing w:after="0" w:line="23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660"/>
        <w:spacing w:after="0" w:line="207" w:lineRule="exact"/>
        <w:tabs>
          <w:tab w:leader="none" w:pos="13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Arial" w:cs="Arial" w:eastAsia="Arial" w:hAnsi="Arial"/>
          <w:sz w:val="18"/>
          <w:szCs w:val="18"/>
          <w:color w:val="auto"/>
        </w:rPr>
        <w:t>o</w:t>
      </w:r>
    </w:p>
    <w:p>
      <w:pPr>
        <w:spacing w:after="0" w:line="154" w:lineRule="exact"/>
        <w:rPr>
          <w:sz w:val="24"/>
          <w:szCs w:val="24"/>
          <w:color w:val="auto"/>
        </w:rPr>
      </w:pPr>
    </w:p>
    <w:p>
      <w:pPr>
        <w:spacing w:after="0" w:line="25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66" w:lineRule="exact"/>
        <w:rPr>
          <w:sz w:val="24"/>
          <w:szCs w:val="24"/>
          <w:color w:val="auto"/>
        </w:rPr>
      </w:pPr>
    </w:p>
    <w:p>
      <w:pPr>
        <w:ind w:left="660"/>
        <w:spacing w:after="0" w:line="207" w:lineRule="exact"/>
        <w:tabs>
          <w:tab w:leader="none" w:pos="13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Arial" w:cs="Arial" w:eastAsia="Arial" w:hAnsi="Arial"/>
          <w:sz w:val="18"/>
          <w:szCs w:val="18"/>
          <w:color w:val="auto"/>
        </w:rPr>
        <w:t>o</w:t>
      </w:r>
    </w:p>
    <w:p>
      <w:pPr>
        <w:spacing w:after="0" w:line="196" w:lineRule="exact"/>
        <w:rPr>
          <w:sz w:val="24"/>
          <w:szCs w:val="24"/>
          <w:color w:val="auto"/>
        </w:rPr>
      </w:pPr>
    </w:p>
    <w:p>
      <w:pPr>
        <w:ind w:right="180"/>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 )</w:t>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248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4120" w:type="dxa"/>
            <w:vAlign w:val="bottom"/>
            <w:gridSpan w:val="2"/>
          </w:tcPr>
          <w:p>
            <w:pPr>
              <w:ind w:left="120"/>
              <w:spacing w:after="0"/>
              <w:rPr>
                <w:sz w:val="20"/>
                <w:szCs w:val="20"/>
                <w:color w:val="auto"/>
              </w:rPr>
            </w:pPr>
            <w:r>
              <w:rPr>
                <w:rFonts w:ascii="Arial" w:cs="Arial" w:eastAsia="Arial" w:hAnsi="Arial"/>
                <w:sz w:val="14"/>
                <w:szCs w:val="14"/>
                <w:color w:val="auto"/>
              </w:rPr>
              <w:t>ü</w:t>
            </w:r>
          </w:p>
        </w:tc>
        <w:tc>
          <w:tcPr>
            <w:tcW w:w="2160" w:type="dxa"/>
            <w:vAlign w:val="bottom"/>
          </w:tcPr>
          <w:p>
            <w:pPr>
              <w:ind w:left="440"/>
              <w:spacing w:after="0"/>
              <w:rPr>
                <w:sz w:val="20"/>
                <w:szCs w:val="20"/>
                <w:color w:val="auto"/>
              </w:rPr>
            </w:pPr>
            <w:r>
              <w:rPr>
                <w:rFonts w:ascii="Arial" w:cs="Arial" w:eastAsia="Arial" w:hAnsi="Arial"/>
                <w:sz w:val="14"/>
                <w:szCs w:val="14"/>
                <w:color w:val="auto"/>
              </w:rPr>
              <w:t>Accelerated filer</w:t>
            </w:r>
          </w:p>
        </w:tc>
      </w:tr>
      <w:tr>
        <w:trPr>
          <w:trHeight w:val="264"/>
        </w:trPr>
        <w:tc>
          <w:tcPr>
            <w:tcW w:w="248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300" w:type="dxa"/>
            <w:vAlign w:val="bottom"/>
            <w:tcBorders>
              <w:top w:val="single" w:sz="8" w:color="auto"/>
              <w:bottom w:val="single" w:sz="8" w:color="auto"/>
            </w:tcBorders>
          </w:tcPr>
          <w:p>
            <w:pPr>
              <w:spacing w:after="0"/>
              <w:rPr>
                <w:sz w:val="22"/>
                <w:szCs w:val="22"/>
                <w:color w:val="auto"/>
              </w:rPr>
            </w:pPr>
          </w:p>
        </w:tc>
        <w:tc>
          <w:tcPr>
            <w:tcW w:w="3820" w:type="dxa"/>
            <w:vAlign w:val="bottom"/>
          </w:tcPr>
          <w:p>
            <w:pPr>
              <w:ind w:left="100"/>
              <w:spacing w:after="0"/>
              <w:rPr>
                <w:sz w:val="20"/>
                <w:szCs w:val="20"/>
                <w:color w:val="auto"/>
              </w:rPr>
            </w:pPr>
            <w:r>
              <w:rPr>
                <w:rFonts w:ascii="Arial" w:cs="Arial" w:eastAsia="Arial" w:hAnsi="Arial"/>
                <w:sz w:val="14"/>
                <w:szCs w:val="14"/>
                <w:color w:val="auto"/>
              </w:rPr>
              <w:t>(Do not check if a smaller reporting company)</w:t>
            </w:r>
          </w:p>
        </w:tc>
        <w:tc>
          <w:tcPr>
            <w:tcW w:w="2160" w:type="dxa"/>
            <w:vAlign w:val="bottom"/>
          </w:tcPr>
          <w:p>
            <w:pPr>
              <w:ind w:left="440"/>
              <w:spacing w:after="0"/>
              <w:rPr>
                <w:sz w:val="20"/>
                <w:szCs w:val="20"/>
                <w:color w:val="auto"/>
              </w:rPr>
            </w:pPr>
            <w:r>
              <w:rPr>
                <w:rFonts w:ascii="Arial" w:cs="Arial" w:eastAsia="Arial" w:hAnsi="Arial"/>
                <w:sz w:val="14"/>
                <w:szCs w:val="14"/>
                <w:color w:val="auto"/>
              </w:rPr>
              <w:t>Smaller reporting company</w:t>
            </w:r>
          </w:p>
        </w:tc>
      </w:tr>
      <w:tr>
        <w:trPr>
          <w:trHeight w:val="258"/>
        </w:trPr>
        <w:tc>
          <w:tcPr>
            <w:tcW w:w="2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160" w:type="dxa"/>
            <w:vAlign w:val="bottom"/>
          </w:tcPr>
          <w:p>
            <w:pPr>
              <w:ind w:left="440"/>
              <w:spacing w:after="0"/>
              <w:rPr>
                <w:sz w:val="20"/>
                <w:szCs w:val="20"/>
                <w:color w:val="auto"/>
              </w:rPr>
            </w:pPr>
            <w:r>
              <w:rPr>
                <w:rFonts w:ascii="Arial" w:cs="Arial" w:eastAsia="Arial" w:hAnsi="Arial"/>
                <w:sz w:val="14"/>
                <w:szCs w:val="14"/>
                <w:color w:val="auto"/>
              </w:rPr>
              <w:t>Emerging growth company</w:t>
            </w:r>
          </w:p>
        </w:tc>
      </w:tr>
      <w:tr>
        <w:trPr>
          <w:trHeight w:val="397"/>
        </w:trPr>
        <w:tc>
          <w:tcPr>
            <w:tcW w:w="6600" w:type="dxa"/>
            <w:vAlign w:val="bottom"/>
            <w:gridSpan w:val="3"/>
          </w:tcPr>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tc>
        <w:tc>
          <w:tcPr>
            <w:tcW w:w="2160" w:type="dxa"/>
            <w:vAlign w:val="bottom"/>
          </w:tcPr>
          <w:p>
            <w:pPr>
              <w:ind w:left="80"/>
              <w:spacing w:after="0" w:line="207" w:lineRule="exact"/>
              <w:rPr>
                <w:sz w:val="20"/>
                <w:szCs w:val="20"/>
                <w:color w:val="auto"/>
              </w:rPr>
            </w:pPr>
            <w:r>
              <w:rPr>
                <w:rFonts w:ascii="Arial" w:cs="Arial" w:eastAsia="Arial" w:hAnsi="Arial"/>
                <w:sz w:val="14"/>
                <w:szCs w:val="14"/>
                <w:color w:val="auto"/>
              </w:rPr>
              <w:t xml:space="preserve">Yes: </w:t>
            </w:r>
            <w:r>
              <w:rPr>
                <w:rFonts w:ascii="Arial" w:cs="Arial" w:eastAsia="Arial" w:hAnsi="Arial"/>
                <w:sz w:val="18"/>
                <w:szCs w:val="18"/>
                <w:color w:val="auto"/>
              </w:rPr>
              <w:t>o</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6076950</wp:posOffset>
            </wp:positionH>
            <wp:positionV relativeFrom="paragraph">
              <wp:posOffset>-243840</wp:posOffset>
            </wp:positionV>
            <wp:extent cx="1803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-423545</wp:posOffset>
            </wp:positionV>
            <wp:extent cx="1803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-603885</wp:posOffset>
            </wp:positionV>
            <wp:extent cx="180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100" w:lineRule="exact"/>
        <w:rPr>
          <w:sz w:val="24"/>
          <w:szCs w:val="24"/>
          <w:color w:val="auto"/>
        </w:rPr>
      </w:pPr>
    </w:p>
    <w:p>
      <w:pPr>
        <w:ind w:right="40"/>
        <w:spacing w:after="0" w:line="250" w:lineRule="auto"/>
        <w:rPr>
          <w:sz w:val="20"/>
          <w:szCs w:val="20"/>
          <w:color w:val="auto"/>
        </w:rPr>
      </w:pPr>
      <w:r>
        <w:rPr>
          <w:rFonts w:ascii="Arial" w:cs="Arial" w:eastAsia="Arial" w:hAnsi="Arial"/>
          <w:sz w:val="14"/>
          <w:szCs w:val="14"/>
          <w:color w:val="auto"/>
        </w:rPr>
        <w:t>As of June 30, 2017 (the last business day of the registrant’s most recently completed second fiscal quarter), 286,208,624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$5,284,326,964 computed at the closing price on that date.</w:t>
      </w:r>
    </w:p>
    <w:p>
      <w:pPr>
        <w:spacing w:after="0" w:line="118" w:lineRule="exact"/>
        <w:rPr>
          <w:sz w:val="24"/>
          <w:szCs w:val="24"/>
          <w:color w:val="auto"/>
        </w:rPr>
      </w:pPr>
    </w:p>
    <w:p>
      <w:pPr>
        <w:ind w:right="3040"/>
        <w:spacing w:after="0" w:line="338" w:lineRule="auto"/>
        <w:rPr>
          <w:sz w:val="20"/>
          <w:szCs w:val="20"/>
          <w:color w:val="auto"/>
        </w:rPr>
      </w:pPr>
      <w:r>
        <w:rPr>
          <w:rFonts w:ascii="Arial" w:cs="Arial" w:eastAsia="Arial" w:hAnsi="Arial"/>
          <w:sz w:val="14"/>
          <w:szCs w:val="14"/>
          <w:color w:val="auto"/>
        </w:rPr>
        <w:t>As of February 1, 2018, 274,421,032 shares of the registrant’s common stock, par value $.06 per share, were outstanding, Portions of the Company’s Proxy Statement for its 2017 Annual Meeting of Shareholders are incorporated by reference into Part III.</w:t>
      </w:r>
    </w:p>
    <w:p>
      <w:pPr>
        <w:jc w:val="center"/>
        <w:ind w:right="-39"/>
        <w:spacing w:after="0"/>
        <w:rPr>
          <w:sz w:val="20"/>
          <w:szCs w:val="20"/>
          <w:color w:val="auto"/>
        </w:rPr>
      </w:pPr>
      <w:r>
        <w:rPr>
          <w:rFonts w:ascii="Arial" w:cs="Arial" w:eastAsia="Arial" w:hAnsi="Arial"/>
          <w:sz w:val="18"/>
          <w:szCs w:val="18"/>
          <w:b w:val="1"/>
          <w:bCs w:val="1"/>
          <w:color w:val="auto"/>
        </w:rPr>
        <w:t>GENTEX CORPORATION AND SUBSIDIARIES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356" w:lineRule="exact"/>
        <w:rPr>
          <w:sz w:val="24"/>
          <w:szCs w:val="24"/>
          <w:color w:val="auto"/>
        </w:rPr>
      </w:pPr>
    </w:p>
    <w:tbl>
      <w:tblPr>
        <w:tblLayout w:type="fixed"/>
        <w:tblInd w:w="60" w:type="dxa"/>
        <w:tblCellMar>
          <w:top w:w="0" w:type="dxa"/>
          <w:left w:w="0" w:type="dxa"/>
          <w:bottom w:w="0" w:type="dxa"/>
          <w:right w:w="0" w:type="dxa"/>
        </w:tblCellMar>
      </w:tblPr>
      <w:tr>
        <w:trPr>
          <w:trHeight w:val="286"/>
        </w:trPr>
        <w:tc>
          <w:tcPr>
            <w:tcW w:w="680" w:type="dxa"/>
            <w:vAlign w:val="bottom"/>
            <w:gridSpan w:val="2"/>
          </w:tcPr>
          <w:p>
            <w:pPr>
              <w:spacing w:after="0"/>
              <w:rPr>
                <w:sz w:val="20"/>
                <w:szCs w:val="20"/>
                <w:color w:val="auto"/>
              </w:rPr>
            </w:pPr>
            <w:r>
              <w:rPr>
                <w:rFonts w:ascii="Arial" w:cs="Arial" w:eastAsia="Arial" w:hAnsi="Arial"/>
                <w:sz w:val="22"/>
                <w:szCs w:val="22"/>
                <w:b w:val="1"/>
                <w:bCs w:val="1"/>
                <w:color w:val="auto"/>
              </w:rPr>
              <w:t>Part I</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60" w:type="dxa"/>
            <w:vAlign w:val="bottom"/>
            <w:gridSpan w:val="3"/>
          </w:tcPr>
          <w:p>
            <w:pPr>
              <w:ind w:left="6940"/>
              <w:spacing w:after="0"/>
              <w:rPr>
                <w:sz w:val="20"/>
                <w:szCs w:val="20"/>
                <w:color w:val="auto"/>
              </w:rPr>
            </w:pPr>
            <w:r>
              <w:rPr>
                <w:rFonts w:ascii="Arial" w:cs="Arial" w:eastAsia="Arial" w:hAnsi="Arial"/>
                <w:sz w:val="22"/>
                <w:szCs w:val="22"/>
                <w:b w:val="1"/>
                <w:bCs w:val="1"/>
                <w:color w:val="auto"/>
                <w:w w:val="94"/>
              </w:rPr>
              <w:t>Page</w:t>
            </w:r>
          </w:p>
        </w:tc>
      </w:tr>
      <w:tr>
        <w:trPr>
          <w:trHeight w:val="220"/>
        </w:trPr>
        <w:tc>
          <w:tcPr>
            <w:tcW w:w="560" w:type="dxa"/>
            <w:vAlign w:val="bottom"/>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Business</w:t>
              </w:r>
            </w:hyperlink>
          </w:p>
        </w:tc>
        <w:tc>
          <w:tcPr>
            <w:tcW w:w="1520" w:type="dxa"/>
            <w:vAlign w:val="bottom"/>
            <w:gridSpan w:val="2"/>
          </w:tcPr>
          <w:p>
            <w:pPr>
              <w:spacing w:after="0"/>
              <w:rPr>
                <w:sz w:val="19"/>
                <w:szCs w:val="19"/>
                <w:color w:val="auto"/>
              </w:rPr>
            </w:pPr>
          </w:p>
        </w:tc>
        <w:tc>
          <w:tcPr>
            <w:tcW w:w="7260" w:type="dxa"/>
            <w:vAlign w:val="bottom"/>
            <w:gridSpan w:val="2"/>
          </w:tcPr>
          <w:p>
            <w:pPr>
              <w:jc w:val="center"/>
              <w:ind w:left="7064"/>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200" w:type="dxa"/>
            <w:vAlign w:val="bottom"/>
          </w:tcPr>
          <w:p>
            <w:pPr>
              <w:spacing w:after="0"/>
              <w:rPr>
                <w:sz w:val="19"/>
                <w:szCs w:val="19"/>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680" w:type="dxa"/>
            <w:vAlign w:val="bottom"/>
            <w:gridSpan w:val="2"/>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Item 1A.</w:t>
              </w:r>
            </w:hyperlink>
          </w:p>
        </w:tc>
        <w:tc>
          <w:tcPr>
            <w:tcW w:w="340" w:type="dxa"/>
            <w:vAlign w:val="bottom"/>
          </w:tcPr>
          <w:p>
            <w:pPr>
              <w:spacing w:after="0"/>
              <w:rPr>
                <w:sz w:val="20"/>
                <w:szCs w:val="20"/>
                <w:color w:val="auto"/>
              </w:rPr>
            </w:pPr>
          </w:p>
        </w:tc>
        <w:tc>
          <w:tcPr>
            <w:tcW w:w="2260" w:type="dxa"/>
            <w:vAlign w:val="bottom"/>
            <w:gridSpan w:val="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7260" w:type="dxa"/>
            <w:vAlign w:val="bottom"/>
            <w:gridSpan w:val="2"/>
          </w:tcPr>
          <w:p>
            <w:pPr>
              <w:jc w:val="center"/>
              <w:ind w:left="7064"/>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7</w:t>
              </w:r>
            </w:hyperlink>
          </w:p>
        </w:tc>
        <w:tc>
          <w:tcPr>
            <w:tcW w:w="200" w:type="dxa"/>
            <w:vAlign w:val="bottom"/>
          </w:tcPr>
          <w:p>
            <w:pPr>
              <w:spacing w:after="0"/>
              <w:rPr>
                <w:sz w:val="20"/>
                <w:szCs w:val="20"/>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680" w:type="dxa"/>
            <w:vAlign w:val="bottom"/>
            <w:gridSpan w:val="2"/>
          </w:tcPr>
          <w:p>
            <w:pPr>
              <w:spacing w:after="0"/>
              <w:rPr>
                <w:rFonts w:ascii="Arial" w:cs="Arial" w:eastAsia="Arial" w:hAnsi="Arial"/>
                <w:sz w:val="18"/>
                <w:szCs w:val="18"/>
                <w:color w:val="0000EE"/>
                <w:w w:val="98"/>
              </w:rPr>
            </w:pPr>
            <w:hyperlink w:anchor="page14">
              <w:r>
                <w:rPr>
                  <w:rFonts w:ascii="Arial" w:cs="Arial" w:eastAsia="Arial" w:hAnsi="Arial"/>
                  <w:sz w:val="18"/>
                  <w:szCs w:val="18"/>
                  <w:color w:val="0000EE"/>
                  <w:w w:val="98"/>
                </w:rPr>
                <w:t>Item 1B.</w:t>
              </w:r>
            </w:hyperlink>
          </w:p>
        </w:tc>
        <w:tc>
          <w:tcPr>
            <w:tcW w:w="340" w:type="dxa"/>
            <w:vAlign w:val="bottom"/>
          </w:tcPr>
          <w:p>
            <w:pPr>
              <w:spacing w:after="0"/>
              <w:rPr>
                <w:sz w:val="20"/>
                <w:szCs w:val="20"/>
                <w:color w:val="auto"/>
              </w:rPr>
            </w:pPr>
          </w:p>
        </w:tc>
        <w:tc>
          <w:tcPr>
            <w:tcW w:w="2260" w:type="dxa"/>
            <w:vAlign w:val="bottom"/>
            <w:gridSpan w:val="3"/>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Unresolved Staff Comments</w:t>
              </w:r>
            </w:hyperlink>
          </w:p>
        </w:tc>
        <w:tc>
          <w:tcPr>
            <w:tcW w:w="716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14">
              <w:r>
                <w:rPr>
                  <w:rFonts w:ascii="Arial" w:cs="Arial" w:eastAsia="Arial" w:hAnsi="Arial"/>
                  <w:sz w:val="17"/>
                  <w:szCs w:val="17"/>
                  <w:color w:val="0000EE"/>
                  <w:w w:val="73"/>
                </w:rPr>
                <w:t>13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380"/>
          </w:cols>
          <w:pgMar w:left="240" w:top="742" w:right="27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rFonts w:ascii="Arial" w:cs="Arial" w:eastAsia="Arial" w:hAnsi="Arial"/>
                <w:sz w:val="18"/>
                <w:szCs w:val="18"/>
                <w:color w:val="0000EE"/>
                <w:w w:val="98"/>
              </w:rPr>
            </w:pPr>
            <w:hyperlink w:anchor="page14">
              <w:r>
                <w:rPr>
                  <w:rFonts w:ascii="Arial" w:cs="Arial" w:eastAsia="Arial" w:hAnsi="Arial"/>
                  <w:sz w:val="18"/>
                  <w:szCs w:val="18"/>
                  <w:color w:val="0000EE"/>
                  <w:w w:val="98"/>
                </w:rPr>
                <w:t>Item 2.</w:t>
              </w:r>
            </w:hyperlink>
          </w:p>
        </w:tc>
        <w:tc>
          <w:tcPr>
            <w:tcW w:w="460" w:type="dxa"/>
            <w:vAlign w:val="bottom"/>
          </w:tcPr>
          <w:p>
            <w:pPr>
              <w:spacing w:after="0"/>
              <w:rPr>
                <w:sz w:val="17"/>
                <w:szCs w:val="17"/>
                <w:color w:val="auto"/>
              </w:rPr>
            </w:pPr>
          </w:p>
        </w:tc>
        <w:tc>
          <w:tcPr>
            <w:tcW w:w="5660" w:type="dxa"/>
            <w:vAlign w:val="bottom"/>
            <w:gridSpan w:val="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3900" w:type="dxa"/>
            <w:vAlign w:val="bottom"/>
            <w:gridSpan w:val="2"/>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Item 3.</w:t>
              </w:r>
            </w:hyperlink>
          </w:p>
        </w:tc>
        <w:tc>
          <w:tcPr>
            <w:tcW w:w="460" w:type="dxa"/>
            <w:vAlign w:val="bottom"/>
          </w:tcPr>
          <w:p>
            <w:pPr>
              <w:spacing w:after="0"/>
              <w:rPr>
                <w:sz w:val="20"/>
                <w:szCs w:val="20"/>
                <w:color w:val="auto"/>
              </w:rPr>
            </w:pPr>
          </w:p>
        </w:tc>
        <w:tc>
          <w:tcPr>
            <w:tcW w:w="150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Legal Proceedings</w:t>
              </w:r>
            </w:hyperlink>
          </w:p>
        </w:tc>
        <w:tc>
          <w:tcPr>
            <w:tcW w:w="4160" w:type="dxa"/>
            <w:vAlign w:val="bottom"/>
            <w:gridSpan w:val="2"/>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14</w:t>
              </w:r>
            </w:hyperlink>
          </w:p>
        </w:tc>
      </w:tr>
      <w:tr>
        <w:trPr>
          <w:trHeight w:val="237"/>
        </w:trPr>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Item 4.</w:t>
              </w:r>
            </w:hyperlink>
          </w:p>
        </w:tc>
        <w:tc>
          <w:tcPr>
            <w:tcW w:w="460" w:type="dxa"/>
            <w:vAlign w:val="bottom"/>
          </w:tcPr>
          <w:p>
            <w:pPr>
              <w:spacing w:after="0"/>
              <w:rPr>
                <w:sz w:val="20"/>
                <w:szCs w:val="20"/>
                <w:color w:val="auto"/>
              </w:rPr>
            </w:pPr>
          </w:p>
        </w:tc>
        <w:tc>
          <w:tcPr>
            <w:tcW w:w="194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Mine Safety Disclosures</w:t>
              </w:r>
            </w:hyperlink>
          </w:p>
        </w:tc>
        <w:tc>
          <w:tcPr>
            <w:tcW w:w="37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14</w:t>
              </w:r>
            </w:hyperlink>
          </w:p>
        </w:tc>
      </w:tr>
    </w:tbl>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rFonts w:ascii="Arial" w:cs="Arial" w:eastAsia="Arial" w:hAnsi="Arial"/>
                <w:sz w:val="18"/>
                <w:szCs w:val="18"/>
                <w:color w:val="0000EE"/>
                <w:w w:val="98"/>
              </w:rPr>
            </w:pPr>
            <w:hyperlink w:anchor="page16">
              <w:r>
                <w:rPr>
                  <w:rFonts w:ascii="Arial" w:cs="Arial" w:eastAsia="Arial" w:hAnsi="Arial"/>
                  <w:sz w:val="18"/>
                  <w:szCs w:val="18"/>
                  <w:color w:val="0000EE"/>
                  <w:w w:val="98"/>
                </w:rPr>
                <w:t>Item 5.</w:t>
              </w:r>
            </w:hyperlink>
          </w:p>
        </w:tc>
        <w:tc>
          <w:tcPr>
            <w:tcW w:w="460" w:type="dxa"/>
            <w:vAlign w:val="bottom"/>
            <w:gridSpan w:val="2"/>
          </w:tcPr>
          <w:p>
            <w:pPr>
              <w:spacing w:after="0"/>
              <w:rPr>
                <w:sz w:val="17"/>
                <w:szCs w:val="17"/>
                <w:color w:val="auto"/>
              </w:rPr>
            </w:pPr>
          </w:p>
        </w:tc>
        <w:tc>
          <w:tcPr>
            <w:tcW w:w="8860" w:type="dxa"/>
            <w:vAlign w:val="bottom"/>
            <w:gridSpan w:val="1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Market for the Registrant’s Common Equity, Related Stockholder Matters and Issuer Purchases of Equity</w:t>
              </w:r>
            </w:hyperlink>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83"/>
        </w:trPr>
        <w:tc>
          <w:tcPr>
            <w:tcW w:w="56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16">
              <w:r>
                <w:rPr>
                  <w:rFonts w:ascii="Arial" w:cs="Arial" w:eastAsia="Arial" w:hAnsi="Arial"/>
                  <w:sz w:val="18"/>
                  <w:szCs w:val="18"/>
                  <w:color w:val="0000EE"/>
                  <w:w w:val="98"/>
                </w:rPr>
                <w:t>Securities</w:t>
              </w:r>
            </w:hyperlink>
          </w:p>
        </w:tc>
        <w:tc>
          <w:tcPr>
            <w:tcW w:w="7540" w:type="dxa"/>
            <w:vAlign w:val="bottom"/>
            <w:tcBorders>
              <w:top w:val="single" w:sz="8" w:color="0000EE"/>
            </w:tcBorders>
            <w:gridSpan w:val="8"/>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15</w:t>
              </w:r>
            </w:hyperlink>
          </w:p>
        </w:tc>
      </w:tr>
      <w:tr>
        <w:trPr>
          <w:trHeight w:val="237"/>
        </w:trPr>
        <w:tc>
          <w:tcPr>
            <w:tcW w:w="560" w:type="dxa"/>
            <w:vAlign w:val="bottom"/>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6.</w:t>
              </w:r>
            </w:hyperlink>
          </w:p>
        </w:tc>
        <w:tc>
          <w:tcPr>
            <w:tcW w:w="460" w:type="dxa"/>
            <w:vAlign w:val="bottom"/>
            <w:gridSpan w:val="2"/>
          </w:tcPr>
          <w:p>
            <w:pPr>
              <w:spacing w:after="0"/>
              <w:rPr>
                <w:sz w:val="20"/>
                <w:szCs w:val="20"/>
                <w:color w:val="auto"/>
              </w:rPr>
            </w:pPr>
          </w:p>
        </w:tc>
        <w:tc>
          <w:tcPr>
            <w:tcW w:w="886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700" w:type="dxa"/>
            <w:vAlign w:val="bottom"/>
            <w:gridSpan w:val="2"/>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7.</w:t>
              </w:r>
            </w:hyperlink>
          </w:p>
        </w:tc>
        <w:tc>
          <w:tcPr>
            <w:tcW w:w="460" w:type="dxa"/>
            <w:vAlign w:val="bottom"/>
            <w:gridSpan w:val="2"/>
          </w:tcPr>
          <w:p>
            <w:pPr>
              <w:spacing w:after="0"/>
              <w:rPr>
                <w:sz w:val="20"/>
                <w:szCs w:val="20"/>
                <w:color w:val="auto"/>
              </w:rPr>
            </w:pPr>
          </w:p>
        </w:tc>
        <w:tc>
          <w:tcPr>
            <w:tcW w:w="8860" w:type="dxa"/>
            <w:vAlign w:val="bottom"/>
            <w:gridSpan w:val="1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2"/>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680" w:type="dxa"/>
            <w:vAlign w:val="bottom"/>
            <w:gridSpan w:val="2"/>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Item 7A.</w:t>
              </w:r>
            </w:hyperlink>
          </w:p>
        </w:tc>
        <w:tc>
          <w:tcPr>
            <w:tcW w:w="340" w:type="dxa"/>
            <w:vAlign w:val="bottom"/>
          </w:tcPr>
          <w:p>
            <w:pPr>
              <w:spacing w:after="0"/>
              <w:rPr>
                <w:sz w:val="20"/>
                <w:szCs w:val="20"/>
                <w:color w:val="auto"/>
              </w:rPr>
            </w:pPr>
          </w:p>
        </w:tc>
        <w:tc>
          <w:tcPr>
            <w:tcW w:w="8860" w:type="dxa"/>
            <w:vAlign w:val="bottom"/>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700" w:type="dxa"/>
            <w:vAlign w:val="bottom"/>
            <w:gridSpan w:val="2"/>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37"/>
        </w:trPr>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8.</w:t>
              </w:r>
            </w:hyperlink>
          </w:p>
        </w:tc>
        <w:tc>
          <w:tcPr>
            <w:tcW w:w="12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Financial Statements and Supplementary Data</w:t>
              </w:r>
            </w:hyperlink>
          </w:p>
        </w:tc>
        <w:tc>
          <w:tcPr>
            <w:tcW w:w="980" w:type="dxa"/>
            <w:vAlign w:val="bottom"/>
            <w:tcBorders>
              <w:top w:val="single" w:sz="8" w:color="0000EE"/>
            </w:tcBorders>
          </w:tcPr>
          <w:p>
            <w:pPr>
              <w:spacing w:after="0"/>
              <w:rPr>
                <w:sz w:val="20"/>
                <w:szCs w:val="20"/>
                <w:color w:val="auto"/>
              </w:rPr>
            </w:pPr>
          </w:p>
        </w:tc>
        <w:tc>
          <w:tcPr>
            <w:tcW w:w="4140" w:type="dxa"/>
            <w:vAlign w:val="bottom"/>
            <w:gridSpan w:val="4"/>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r>
      <w:tr>
        <w:trPr>
          <w:trHeight w:val="237"/>
        </w:trPr>
        <w:tc>
          <w:tcPr>
            <w:tcW w:w="560" w:type="dxa"/>
            <w:vAlign w:val="bottom"/>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9.</w:t>
              </w:r>
            </w:hyperlink>
          </w:p>
        </w:tc>
        <w:tc>
          <w:tcPr>
            <w:tcW w:w="460" w:type="dxa"/>
            <w:vAlign w:val="bottom"/>
            <w:gridSpan w:val="2"/>
          </w:tcPr>
          <w:p>
            <w:pPr>
              <w:spacing w:after="0"/>
              <w:rPr>
                <w:sz w:val="20"/>
                <w:szCs w:val="20"/>
                <w:color w:val="auto"/>
              </w:rPr>
            </w:pPr>
          </w:p>
        </w:tc>
        <w:tc>
          <w:tcPr>
            <w:tcW w:w="886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Changes in and Disagreements with Accountants on Accounting and Financial Disclosure</w:t>
              </w:r>
            </w:hyperlink>
          </w:p>
        </w:tc>
        <w:tc>
          <w:tcPr>
            <w:tcW w:w="700" w:type="dxa"/>
            <w:vAlign w:val="bottom"/>
            <w:gridSpan w:val="2"/>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140" w:type="dxa"/>
            <w:vAlign w:val="bottom"/>
            <w:gridSpan w:val="4"/>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68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9A.</w:t>
              </w:r>
            </w:hyperlink>
          </w:p>
        </w:tc>
        <w:tc>
          <w:tcPr>
            <w:tcW w:w="340" w:type="dxa"/>
            <w:vAlign w:val="bottom"/>
          </w:tcPr>
          <w:p>
            <w:pPr>
              <w:spacing w:after="0"/>
              <w:rPr>
                <w:sz w:val="20"/>
                <w:szCs w:val="20"/>
                <w:color w:val="auto"/>
              </w:rPr>
            </w:pPr>
          </w:p>
        </w:tc>
        <w:tc>
          <w:tcPr>
            <w:tcW w:w="20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Controls and Procedures</w:t>
              </w:r>
            </w:hyperlink>
          </w:p>
        </w:tc>
        <w:tc>
          <w:tcPr>
            <w:tcW w:w="6860" w:type="dxa"/>
            <w:vAlign w:val="bottom"/>
            <w:gridSpan w:val="6"/>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r>
      <w:tr>
        <w:trPr>
          <w:trHeight w:val="237"/>
        </w:trPr>
        <w:tc>
          <w:tcPr>
            <w:tcW w:w="680" w:type="dxa"/>
            <w:vAlign w:val="bottom"/>
            <w:gridSpan w:val="2"/>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Item 9B.</w:t>
              </w:r>
            </w:hyperlink>
          </w:p>
        </w:tc>
        <w:tc>
          <w:tcPr>
            <w:tcW w:w="340" w:type="dxa"/>
            <w:vAlign w:val="bottom"/>
          </w:tcPr>
          <w:p>
            <w:pPr>
              <w:spacing w:after="0"/>
              <w:rPr>
                <w:sz w:val="20"/>
                <w:szCs w:val="20"/>
                <w:color w:val="auto"/>
              </w:rPr>
            </w:pPr>
          </w:p>
        </w:tc>
        <w:tc>
          <w:tcPr>
            <w:tcW w:w="8860" w:type="dxa"/>
            <w:vAlign w:val="bottom"/>
            <w:gridSpan w:val="1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700" w:type="dxa"/>
            <w:vAlign w:val="bottom"/>
            <w:gridSpan w:val="2"/>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10.</w:t>
              </w:r>
            </w:hyperlink>
          </w:p>
        </w:tc>
        <w:tc>
          <w:tcPr>
            <w:tcW w:w="360" w:type="dxa"/>
            <w:vAlign w:val="bottom"/>
          </w:tcPr>
          <w:p>
            <w:pPr>
              <w:spacing w:after="0"/>
              <w:rPr>
                <w:sz w:val="17"/>
                <w:szCs w:val="17"/>
                <w:color w:val="auto"/>
              </w:rPr>
            </w:pPr>
          </w:p>
        </w:tc>
        <w:tc>
          <w:tcPr>
            <w:tcW w:w="870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Directors, Executive Officers and Corporate Governance</w:t>
              </w:r>
            </w:hyperlink>
          </w:p>
        </w:tc>
        <w:tc>
          <w:tcPr>
            <w:tcW w:w="860" w:type="dxa"/>
            <w:vAlign w:val="bottom"/>
            <w:gridSpan w:val="2"/>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237"/>
        </w:trPr>
        <w:tc>
          <w:tcPr>
            <w:tcW w:w="66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11.</w:t>
              </w:r>
            </w:hyperlink>
          </w:p>
        </w:tc>
        <w:tc>
          <w:tcPr>
            <w:tcW w:w="360" w:type="dxa"/>
            <w:vAlign w:val="bottom"/>
          </w:tcPr>
          <w:p>
            <w:pPr>
              <w:spacing w:after="0"/>
              <w:rPr>
                <w:sz w:val="20"/>
                <w:szCs w:val="20"/>
                <w:color w:val="auto"/>
              </w:rPr>
            </w:pPr>
          </w:p>
        </w:tc>
        <w:tc>
          <w:tcPr>
            <w:tcW w:w="2000" w:type="dxa"/>
            <w:vAlign w:val="bottom"/>
            <w:tcBorders>
              <w:top w:val="single" w:sz="8" w:color="0000EE"/>
              <w:bottom w:val="single" w:sz="8" w:color="0000EE"/>
            </w:tcBorders>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Executive Compensation</w:t>
              </w:r>
            </w:hyperlink>
          </w:p>
        </w:tc>
        <w:tc>
          <w:tcPr>
            <w:tcW w:w="2500" w:type="dxa"/>
            <w:vAlign w:val="bottom"/>
            <w:tcBorders>
              <w:top w:val="single" w:sz="8" w:color="0000EE"/>
            </w:tcBorders>
            <w:gridSpan w:val="2"/>
          </w:tcPr>
          <w:p>
            <w:pPr>
              <w:spacing w:after="0"/>
              <w:rPr>
                <w:sz w:val="20"/>
                <w:szCs w:val="20"/>
                <w:color w:val="auto"/>
              </w:rPr>
            </w:pPr>
          </w:p>
        </w:tc>
        <w:tc>
          <w:tcPr>
            <w:tcW w:w="4200" w:type="dxa"/>
            <w:vAlign w:val="bottom"/>
            <w:gridSpan w:val="3"/>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31</w:t>
              </w:r>
            </w:hyperlink>
          </w:p>
        </w:tc>
      </w:tr>
      <w:tr>
        <w:trPr>
          <w:trHeight w:val="237"/>
        </w:trPr>
        <w:tc>
          <w:tcPr>
            <w:tcW w:w="660" w:type="dxa"/>
            <w:vAlign w:val="bottom"/>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12.</w:t>
              </w:r>
            </w:hyperlink>
          </w:p>
        </w:tc>
        <w:tc>
          <w:tcPr>
            <w:tcW w:w="360" w:type="dxa"/>
            <w:vAlign w:val="bottom"/>
          </w:tcPr>
          <w:p>
            <w:pPr>
              <w:spacing w:after="0"/>
              <w:rPr>
                <w:sz w:val="20"/>
                <w:szCs w:val="20"/>
                <w:color w:val="auto"/>
              </w:rPr>
            </w:pPr>
          </w:p>
        </w:tc>
        <w:tc>
          <w:tcPr>
            <w:tcW w:w="8700" w:type="dxa"/>
            <w:vAlign w:val="bottom"/>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Security Ownership of Certain Beneficial Owners and Management and Related Stockholder Matters</w:t>
              </w:r>
            </w:hyperlink>
          </w:p>
        </w:tc>
        <w:tc>
          <w:tcPr>
            <w:tcW w:w="860" w:type="dxa"/>
            <w:vAlign w:val="bottom"/>
            <w:gridSpan w:val="2"/>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37"/>
        </w:trPr>
        <w:tc>
          <w:tcPr>
            <w:tcW w:w="660" w:type="dxa"/>
            <w:vAlign w:val="bottom"/>
            <w:tcBorders>
              <w:top w:val="single" w:sz="8" w:color="0000EE"/>
            </w:tcBorders>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13.</w:t>
              </w:r>
            </w:hyperlink>
          </w:p>
        </w:tc>
        <w:tc>
          <w:tcPr>
            <w:tcW w:w="360" w:type="dxa"/>
            <w:vAlign w:val="bottom"/>
          </w:tcPr>
          <w:p>
            <w:pPr>
              <w:spacing w:after="0"/>
              <w:rPr>
                <w:sz w:val="20"/>
                <w:szCs w:val="20"/>
                <w:color w:val="auto"/>
              </w:rPr>
            </w:pPr>
          </w:p>
        </w:tc>
        <w:tc>
          <w:tcPr>
            <w:tcW w:w="8020" w:type="dxa"/>
            <w:vAlign w:val="bottom"/>
            <w:tcBorders>
              <w:top w:val="single" w:sz="8" w:color="0000EE"/>
            </w:tcBorders>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Certain Relationships and Related Transactions, and Director Independence</w:t>
              </w:r>
            </w:hyperlink>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r>
      <w:tr>
        <w:trPr>
          <w:trHeight w:val="237"/>
        </w:trPr>
        <w:tc>
          <w:tcPr>
            <w:tcW w:w="660" w:type="dxa"/>
            <w:vAlign w:val="bottom"/>
            <w:tcBorders>
              <w:top w:val="single" w:sz="8" w:color="0000EE"/>
            </w:tcBorders>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14.</w:t>
              </w:r>
            </w:hyperlink>
          </w:p>
        </w:tc>
        <w:tc>
          <w:tcPr>
            <w:tcW w:w="360" w:type="dxa"/>
            <w:vAlign w:val="bottom"/>
          </w:tcPr>
          <w:p>
            <w:pPr>
              <w:spacing w:after="0"/>
              <w:rPr>
                <w:sz w:val="20"/>
                <w:szCs w:val="20"/>
                <w:color w:val="auto"/>
              </w:rPr>
            </w:pPr>
          </w:p>
        </w:tc>
        <w:tc>
          <w:tcPr>
            <w:tcW w:w="6080" w:type="dxa"/>
            <w:vAlign w:val="bottom"/>
            <w:tcBorders>
              <w:top w:val="single" w:sz="8" w:color="0000EE"/>
            </w:tcBorders>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Principal Accounting Fee and Services</w:t>
              </w:r>
            </w:hyperlink>
          </w:p>
        </w:tc>
        <w:tc>
          <w:tcPr>
            <w:tcW w:w="2620" w:type="dxa"/>
            <w:vAlign w:val="bottom"/>
            <w:gridSpan w:val="2"/>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r>
      <w:tr>
        <w:trPr>
          <w:trHeight w:val="20"/>
        </w:trPr>
        <w:tc>
          <w:tcPr>
            <w:tcW w:w="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15.</w:t>
              </w:r>
            </w:hyperlink>
          </w:p>
        </w:tc>
        <w:tc>
          <w:tcPr>
            <w:tcW w:w="360" w:type="dxa"/>
            <w:vAlign w:val="bottom"/>
          </w:tcPr>
          <w:p>
            <w:pPr>
              <w:spacing w:after="0"/>
              <w:rPr>
                <w:sz w:val="17"/>
                <w:szCs w:val="17"/>
                <w:color w:val="auto"/>
              </w:rPr>
            </w:pPr>
          </w:p>
        </w:tc>
        <w:tc>
          <w:tcPr>
            <w:tcW w:w="630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 Financial Statement Schedules</w:t>
              </w:r>
            </w:hyperlink>
          </w:p>
        </w:tc>
        <w:tc>
          <w:tcPr>
            <w:tcW w:w="3260" w:type="dxa"/>
            <w:vAlign w:val="bottom"/>
            <w:gridSpan w:val="2"/>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37"/>
        </w:trPr>
        <w:tc>
          <w:tcPr>
            <w:tcW w:w="66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16.</w:t>
              </w:r>
            </w:hyperlink>
          </w:p>
        </w:tc>
        <w:tc>
          <w:tcPr>
            <w:tcW w:w="360" w:type="dxa"/>
            <w:vAlign w:val="bottom"/>
          </w:tcPr>
          <w:p>
            <w:pPr>
              <w:spacing w:after="0"/>
              <w:rPr>
                <w:sz w:val="20"/>
                <w:szCs w:val="20"/>
                <w:color w:val="auto"/>
              </w:rPr>
            </w:pPr>
          </w:p>
        </w:tc>
        <w:tc>
          <w:tcPr>
            <w:tcW w:w="16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Form 10-K Summary</w:t>
              </w:r>
            </w:hyperlink>
          </w:p>
        </w:tc>
        <w:tc>
          <w:tcPr>
            <w:tcW w:w="1540" w:type="dxa"/>
            <w:vAlign w:val="bottom"/>
            <w:tcBorders>
              <w:top w:val="single" w:sz="8" w:color="0000EE"/>
            </w:tcBorders>
          </w:tcPr>
          <w:p>
            <w:pPr>
              <w:spacing w:after="0"/>
              <w:rPr>
                <w:sz w:val="20"/>
                <w:szCs w:val="20"/>
                <w:color w:val="auto"/>
              </w:rPr>
            </w:pPr>
          </w:p>
        </w:tc>
        <w:tc>
          <w:tcPr>
            <w:tcW w:w="30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r>
      <w:tr>
        <w:trPr>
          <w:trHeight w:val="250"/>
        </w:trPr>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300" w:type="dxa"/>
            <w:vAlign w:val="bottom"/>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3260" w:type="dxa"/>
            <w:vAlign w:val="bottom"/>
            <w:gridSpan w:val="2"/>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68">
              <w:r>
                <w:rPr>
                  <w:rFonts w:ascii="Arial" w:cs="Arial" w:eastAsia="Arial" w:hAnsi="Arial"/>
                  <w:sz w:val="18"/>
                  <w:szCs w:val="18"/>
                  <w:color w:val="0000EE"/>
                  <w:w w:val="98"/>
                </w:rPr>
                <w:t>Exhibit Index</w:t>
              </w:r>
            </w:hyperlink>
          </w:p>
        </w:tc>
        <w:tc>
          <w:tcPr>
            <w:tcW w:w="5260" w:type="dxa"/>
            <w:vAlign w:val="bottom"/>
            <w:gridSpan w:val="3"/>
          </w:tcPr>
          <w:p>
            <w:pPr>
              <w:spacing w:after="0"/>
              <w:rPr>
                <w:sz w:val="21"/>
                <w:szCs w:val="21"/>
                <w:color w:val="auto"/>
              </w:rPr>
            </w:pPr>
          </w:p>
        </w:tc>
        <w:tc>
          <w:tcPr>
            <w:tcW w:w="3060" w:type="dxa"/>
            <w:vAlign w:val="bottom"/>
          </w:tcPr>
          <w:p>
            <w:pPr>
              <w:spacing w:after="0"/>
              <w:rPr>
                <w:sz w:val="21"/>
                <w:szCs w:val="21"/>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67</w:t>
              </w:r>
            </w:hyperlink>
          </w:p>
        </w:tc>
      </w:tr>
    </w:tbl>
    <w:p>
      <w:pPr>
        <w:sectPr>
          <w:pgSz w:w="11900" w:h="16838" w:orient="portrait"/>
          <w:cols w:equalWidth="0" w:num="1">
            <w:col w:w="10580"/>
          </w:cols>
          <w:pgMar w:left="300" w:top="108" w:right="10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General Development of Business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Gentex Corporation (the "Company") designs and manufactures automatic-dimming rearview and non-dimming mirrors and electronics for the automotive industry, dimmable aircraft windows for the aviation industry, and commercial smoke alarms and signaling devices for the fire protection industry. The Company’s largest business segment involves designing, developing, manufacturing and marketing interior and exterior automatic-dimming automotive rearview mirrors that utilize proprietary electrochromic technology to dim in proportion to the amount of headlight glare from trailing vehicle headlamps. Within this business segment, the Company also designs, develops and manufactures various electronics that are value added features to the interior and exterior automotive rearview mirrors as well as interior visors, overhead consoles, and other locations in the vehicle. The Company ships its products to all of the major automotive producing regions worldwide, which it supports with numerous sales, engineering and distribution locations worldwide.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was organized as a Michigan corporation in 1974 to manufacture smoke detectors, a product line that has since evolved to include a variety of fire protection products. In 1982, the Company introduced an interior electro-mechanical automatic-dimming rearview mirror as an alternative to the manual day/night rearview mirrors for automotive applications. In 1987, the Company introduced an interior electrochromic automatic-dimming rearview mirror for automotive applications. In 1991, the Company introduced an exterior electrochromic automatic-dimming rearview mirror for automotive applications. In 1997, the Company began making volume shipments of three new exterior mirror sub-assembly products: thin glass flat, convex and aspheric. In 2005, the Company began making volume shipments of its new bezel-free exterior automatic-dimming mirror. In 2005, the Company announced, and in 2010 began delivering electrochromic dimmable aircraft windows for the aviation industry. In 2013, the Company acquired HomeLink</w:t>
      </w:r>
      <w:r>
        <w:rPr>
          <w:rFonts w:ascii="Arial" w:cs="Arial" w:eastAsia="Arial" w:hAnsi="Arial"/>
          <w:sz w:val="21"/>
          <w:szCs w:val="21"/>
          <w:color w:val="auto"/>
          <w:vertAlign w:val="superscript"/>
        </w:rPr>
        <w:t>®</w:t>
      </w:r>
      <w:r>
        <w:rPr>
          <w:rFonts w:ascii="Arial" w:cs="Arial" w:eastAsia="Arial" w:hAnsi="Arial"/>
          <w:sz w:val="18"/>
          <w:szCs w:val="18"/>
          <w:color w:val="auto"/>
        </w:rPr>
        <w:t>, a wireless vehicle/home communications product that enables drivers to remotely activate garage door openers, entry door locks, home lighting, security systems, entry gates and other radio frequency convenience products for automotive applications, wherein the Company had previously been a licensee of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had been, since 2003, integrating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into its interior automatic-dimming rearview mirrors. In 2015, the Company began making shipments of the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which is an on-demand, mirror-borne LCD display that streams live, panoramic video of the vehicle's rearward view in order to improve driver rear vision. Also in 2015, the Company signed an exclusive agreement in the ordinary course of business with TransCore LLP to integrate TransCore's toll module technology into the vehicle in a first-to-market application referred to as Integrated Toll Module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or "ITM"</w:t>
      </w:r>
      <w:r>
        <w:rPr>
          <w:rFonts w:ascii="Arial" w:cs="Arial" w:eastAsia="Arial" w:hAnsi="Arial"/>
          <w:sz w:val="21"/>
          <w:szCs w:val="21"/>
          <w:color w:val="auto"/>
          <w:vertAlign w:val="superscript"/>
        </w:rPr>
        <w:t>®</w:t>
      </w:r>
      <w:r>
        <w:rPr>
          <w:rFonts w:ascii="Arial" w:cs="Arial" w:eastAsia="Arial" w:hAnsi="Arial"/>
          <w:sz w:val="18"/>
          <w:szCs w:val="18"/>
          <w:color w:val="auto"/>
        </w:rPr>
        <w:t>. The interior mirror is an optimal location for a vehicle-integrated toll transponder and it eliminates the need to affix multiple toll tags to the windshield.</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2017, the Company announced an agreement entered into during the ordinary course of business with VOXX to become the exclusive aftermarket distributor of the Gentex Aftermarket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("FDM"</w:t>
      </w:r>
      <w:r>
        <w:rPr>
          <w:rFonts w:ascii="Arial" w:cs="Arial" w:eastAsia="Arial" w:hAnsi="Arial"/>
          <w:sz w:val="21"/>
          <w:szCs w:val="21"/>
          <w:color w:val="auto"/>
          <w:vertAlign w:val="superscript"/>
        </w:rPr>
        <w:t>®</w:t>
      </w:r>
      <w:r>
        <w:rPr>
          <w:rFonts w:ascii="Arial" w:cs="Arial" w:eastAsia="Arial" w:hAnsi="Arial"/>
          <w:sz w:val="18"/>
          <w:szCs w:val="18"/>
          <w:color w:val="auto"/>
        </w:rPr>
        <w:t>) in North America. The Company has also displayed a new three-camera rear vision system that streams rear video – in multiple composite views – to a rearview-mirror-integrated display. Further, the Company has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1"/>
          <w:szCs w:val="21"/>
          <w:color w:val="auto"/>
          <w:vertAlign w:val="superscript"/>
        </w:rPr>
        <w:t>TM</w:t>
      </w:r>
      <w:r>
        <w:rPr>
          <w:rFonts w:ascii="Arial" w:cs="Arial" w:eastAsia="Arial" w:hAnsi="Arial"/>
          <w:sz w:val="18"/>
          <w:szCs w:val="18"/>
          <w:color w:val="auto"/>
        </w:rPr>
        <w:t>. The biometric system will allow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to deploy its ActiveIRIS® iris-scanning biometric technology in automotive applications.</w:t>
      </w:r>
    </w:p>
    <w:p>
      <w:pPr>
        <w:spacing w:after="0" w:line="222"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In January 2018, the Company also announced that an agreement had been signed, in the ordinary course of business, to participate in a round of financing with Yonomi, the Company's partner in home automation technology. The Company is working with Yonomi as a home automation aggregation partner and the Company has developed an app and cloud infrastructure called HomeLink Connect</w:t>
      </w:r>
      <w:r>
        <w:rPr>
          <w:rFonts w:ascii="Arial" w:cs="Arial" w:eastAsia="Arial" w:hAnsi="Arial"/>
          <w:sz w:val="21"/>
          <w:szCs w:val="21"/>
          <w:color w:val="auto"/>
          <w:vertAlign w:val="superscript"/>
        </w:rPr>
        <w:t>TM</w:t>
      </w:r>
      <w:r>
        <w:rPr>
          <w:rFonts w:ascii="Arial" w:cs="Arial" w:eastAsia="Arial" w:hAnsi="Arial"/>
          <w:sz w:val="18"/>
          <w:szCs w:val="18"/>
          <w:color w:val="auto"/>
        </w:rPr>
        <w:t>. HomeLink Connect</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is an all-new home automation app that pairs with the vehicle and allows drivers to operate home automation devices from the vehicle's center console display. Drivers of HomeLink Connect</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compatible vehicles will be able to download and configure the app to control many available home automation devices and create entire home automation settings. The Company</w:t>
      </w:r>
    </w:p>
    <w:p>
      <w:pPr>
        <w:sectPr>
          <w:pgSz w:w="11900" w:h="16838" w:orient="portrait"/>
          <w:cols w:equalWidth="0" w:num="1">
            <w:col w:w="11420"/>
          </w:cols>
          <w:pgMar w:left="240" w:top="792" w:right="239" w:bottom="1440" w:gutter="0" w:footer="0" w:header="0"/>
        </w:sectPr>
      </w:pPr>
    </w:p>
    <w:bookmarkStart w:id="3" w:name="page4"/>
    <w:bookmarkEnd w:id="3"/>
    <w:p>
      <w:pPr>
        <w:ind w:right="620"/>
        <w:spacing w:after="0" w:line="262" w:lineRule="auto"/>
        <w:rPr>
          <w:sz w:val="20"/>
          <w:szCs w:val="20"/>
          <w:color w:val="auto"/>
        </w:rPr>
      </w:pPr>
      <w:r>
        <w:rPr>
          <w:rFonts w:ascii="Arial" w:cs="Arial" w:eastAsia="Arial" w:hAnsi="Arial"/>
          <w:sz w:val="18"/>
          <w:szCs w:val="18"/>
          <w:color w:val="auto"/>
        </w:rPr>
        <w:t>also announced that Jaguar Land Rover will be the first original equipment manufacturer ("OEM") to deploy this new technology on their vehicles.</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Automotive revenues represent approximately 98% of the Company's total revenue, consisting of interior and exterior electrochromic automatic-dimming rearview mirrors and automotive electronics.</w:t>
      </w:r>
    </w:p>
    <w:p>
      <w:pPr>
        <w:spacing w:after="0" w:line="33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Information About Segments</w:t>
      </w:r>
    </w:p>
    <w:p>
      <w:pPr>
        <w:spacing w:after="0" w:line="166" w:lineRule="exact"/>
        <w:rPr>
          <w:rFonts w:ascii="Arial" w:cs="Arial" w:eastAsia="Arial" w:hAnsi="Arial"/>
          <w:sz w:val="18"/>
          <w:szCs w:val="18"/>
          <w:b w:val="1"/>
          <w:bCs w:val="1"/>
          <w:color w:val="auto"/>
        </w:rPr>
      </w:pPr>
    </w:p>
    <w:p>
      <w:pPr>
        <w:ind w:left="66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See Note 7 to the Consolidated Financial Statements filed with this report.</w:t>
        </w:r>
      </w:hyperlink>
    </w:p>
    <w:p>
      <w:pPr>
        <w:spacing w:after="0" w:line="149" w:lineRule="exact"/>
        <w:rPr>
          <w:rFonts w:ascii="Arial" w:cs="Arial" w:eastAsia="Arial" w:hAnsi="Arial"/>
          <w:sz w:val="18"/>
          <w:szCs w:val="18"/>
          <w:u w:val="single" w:color="auto"/>
          <w:color w:val="0000EE"/>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Narrative Description of Business</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designs and manufactures automatic-dimming and non-automatic-dimming rearview mirrors and electronics for the automotive industry, dimmable aircraft windows for the aviation industry, and commercial smoke alarms and signaling devices for the fire protection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Automotive Products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i w:val="1"/>
          <w:iCs w:val="1"/>
          <w:u w:val="single" w:color="auto"/>
          <w:color w:val="auto"/>
        </w:rPr>
        <w:t>Automotive Rearview Mirrors and Electronics</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applications are the largest business segment for the Company, consisting of interior</w:t>
      </w:r>
      <w:r>
        <w:rPr>
          <w:rFonts w:ascii="Arial" w:cs="Arial" w:eastAsia="Arial" w:hAnsi="Arial"/>
          <w:sz w:val="18"/>
          <w:szCs w:val="18"/>
          <w:i w:val="1"/>
          <w:iCs w:val="1"/>
          <w:color w:val="auto"/>
        </w:rPr>
        <w:t xml:space="preserve"> </w:t>
      </w:r>
      <w:r>
        <w:rPr>
          <w:rFonts w:ascii="Arial" w:cs="Arial" w:eastAsia="Arial" w:hAnsi="Arial"/>
          <w:sz w:val="18"/>
          <w:szCs w:val="18"/>
          <w:color w:val="auto"/>
        </w:rPr>
        <w:t>and exterior electrochromic automatic-dimming rearview mirrors and automotive electronics. 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1"/>
          <w:szCs w:val="21"/>
          <w:color w:val="auto"/>
          <w:vertAlign w:val="superscript"/>
        </w:rPr>
        <w:t>®</w:t>
      </w:r>
      <w:r>
        <w:rPr>
          <w:rFonts w:ascii="Arial" w:cs="Arial" w:eastAsia="Arial" w:hAnsi="Arial"/>
          <w:sz w:val="18"/>
          <w:szCs w:val="18"/>
          <w:color w:val="auto"/>
        </w:rPr>
        <w:t>, lighting assist and driver assist forward safety camera systems, various lighting systems, various telematics systems,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systems, and a wide variety of displays. The Company also ships interior non-automatic-dimming rearview mirrors with features.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ships exterior non-automatic-dimming rearview mirrors with similar electronic features available in its automatic-dimming applications.</w:t>
      </w:r>
    </w:p>
    <w:p>
      <w:pPr>
        <w:spacing w:after="0" w:line="20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Company manufactures other automotive electronics products both inside and outside of the rearview mirror through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applications in the vehicle including the rearview mirror, interior visor, overhead console, or center console.</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produces rearview mirrors and electronics for automotive passenger cars, light trucks, pickup trucks, sport utility vehicles, and vans for OEMs worldwide, tier one automotive mirror manufacturers worldwide, and various aftermarket and accessory customers. Automotive rearview mirrors and electronics accounted for 98% of the Company’s consolidated net sales in 2017.</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the leading manufacturer of electrochromic automatic-dimming rearview mirrors in the world, and is the dominant supplier to the automotive industry. Competitors for automotive rearview mirrors include Magna International, YH America, Inc., BYD Auto Company, Murakami Kaimeido Company, Steelmate, Tokai Rika Company, Peak Power Automotive, Adayo, Brandmotion, Echomaster, MEKRA Group, Beijing Sincode, and the China automotive aftermarket. The Company also supplies electrochromic automatic-dimming rearview mirrors to certain of these rearview mirror competitors.</w:t>
      </w:r>
    </w:p>
    <w:p>
      <w:pPr>
        <w:spacing w:after="0" w:line="1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u w:val="single" w:color="auto"/>
          <w:color w:val="auto"/>
        </w:rPr>
        <w:t>Automotive Rearview Mirrors and Electronics Product Development</w:t>
      </w:r>
      <w:r>
        <w:rPr>
          <w:rFonts w:ascii="Arial" w:cs="Arial" w:eastAsia="Arial" w:hAnsi="Arial"/>
          <w:sz w:val="18"/>
          <w:szCs w:val="18"/>
          <w:color w:val="auto"/>
        </w:rPr>
        <w:t>. The Company continually seeks to develop new products and is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to introduce additional advanced-feature automatic-dimming mirrors. Advanced-feature automatic-dimming mirrors currently being offered by the Company include one or more of the following features: SmartBeam</w:t>
      </w:r>
      <w:r>
        <w:rPr>
          <w:rFonts w:ascii="Arial" w:cs="Arial" w:eastAsia="Arial" w:hAnsi="Arial"/>
          <w:sz w:val="21"/>
          <w:szCs w:val="21"/>
          <w:color w:val="auto"/>
          <w:vertAlign w:val="superscript"/>
        </w:rPr>
        <w:t>®</w:t>
      </w:r>
      <w:r>
        <w:rPr>
          <w:rFonts w:ascii="Arial" w:cs="Arial" w:eastAsia="Arial" w:hAnsi="Arial"/>
          <w:sz w:val="18"/>
          <w:szCs w:val="18"/>
          <w:color w:val="auto"/>
        </w:rPr>
        <w:t>, HomeLink</w:t>
      </w:r>
      <w:r>
        <w:rPr>
          <w:rFonts w:ascii="Arial" w:cs="Arial" w:eastAsia="Arial" w:hAnsi="Arial"/>
          <w:sz w:val="21"/>
          <w:szCs w:val="21"/>
          <w:color w:val="auto"/>
          <w:vertAlign w:val="superscript"/>
        </w:rPr>
        <w:t>®</w:t>
      </w:r>
      <w:r>
        <w:rPr>
          <w:rFonts w:ascii="Arial" w:cs="Arial" w:eastAsia="Arial" w:hAnsi="Arial"/>
          <w:sz w:val="18"/>
          <w:szCs w:val="18"/>
          <w:color w:val="auto"/>
        </w:rPr>
        <w:t>, frameless mirror designs, LED map lamps, compass and temperature displays, telematics,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systems, hands free communication, as well as Rear Camera Display ("RCD") interior mirrors and FDM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interior mirrors, exterior turn signals, side blind zone indicators and various other exterior mirror features that improve safety and field of view. Advance features currently in development include: biometric authentication systems, camera monitoring systems ("CMS"), and large area auto-dimming devices.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8" w:right="239" w:bottom="1440" w:gutter="0" w:footer="0" w:header="0"/>
        </w:sectPr>
      </w:pPr>
    </w:p>
    <w:bookmarkStart w:id="4" w:name="page5"/>
    <w:bookmarkEnd w:id="4"/>
    <w:p>
      <w:pPr>
        <w:jc w:val="both"/>
        <w:spacing w:after="0" w:line="258" w:lineRule="auto"/>
        <w:rPr>
          <w:sz w:val="20"/>
          <w:szCs w:val="20"/>
          <w:color w:val="auto"/>
        </w:rPr>
      </w:pPr>
      <w:r>
        <w:rPr>
          <w:rFonts w:ascii="Arial" w:cs="Arial" w:eastAsia="Arial" w:hAnsi="Arial"/>
          <w:sz w:val="18"/>
          <w:szCs w:val="18"/>
          <w:i w:val="1"/>
          <w:iCs w:val="1"/>
          <w:u w:val="single" w:color="auto"/>
          <w:color w:val="auto"/>
        </w:rPr>
        <w:t>Automotive Rearview Mirrors and Electronics Markets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In North America, Europe and Asia, the Company markets its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through a direct sales force utilizing its sales and engineering offices located in Germany, UK, Sweden, France, Japan, South Korea and China, as well as its headquarters in Michigan. The Company generally supplies automatic-dimming mirrors and mirrors with advanced electronic features to its customers worldwide under annual blanket purchase orders with customers, as well as under long-term agreements with certain customers, entered into in the ordinary course of the Company's business.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currently supplying mirrors and electronics modules for BMW Group, Daimler Group, FCA Group, Ford Motor Co., Fuji Heavy, Geely/Volvo, General Motors, Honda Motor Co., Hyundai/Kia, Jaguar/Land Rover, Mazda, Mitsubishi, Nissan Motor Co., Opel, PSA Group, Renault, SAIC, Subaru, Suzuki, Tesla, Toyota Motor Co., and Volkswagen.</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automatic-dimming mirror unit shipment mix by region has fluctuated over the past ten years. The following is a breakdown of unit shipment mix by region in 2017, 2016, 2015, and 2007 calendar years: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20" w:type="dxa"/>
            <w:vAlign w:val="bottom"/>
            <w:gridSpan w:val="2"/>
            <w:shd w:val="clear" w:color="auto" w:fill="CCEEFF"/>
          </w:tcPr>
          <w:p>
            <w:pPr>
              <w:ind w:left="4400"/>
              <w:spacing w:after="0"/>
              <w:rPr>
                <w:sz w:val="20"/>
                <w:szCs w:val="20"/>
                <w:color w:val="auto"/>
              </w:rPr>
            </w:pPr>
            <w:r>
              <w:rPr>
                <w:rFonts w:ascii="Arial" w:cs="Arial" w:eastAsia="Arial" w:hAnsi="Arial"/>
                <w:sz w:val="18"/>
                <w:szCs w:val="18"/>
                <w:b w:val="1"/>
                <w:bCs w:val="1"/>
                <w:color w:val="auto"/>
              </w:rPr>
              <w:t>2017</w:t>
            </w:r>
          </w:p>
        </w:tc>
        <w:tc>
          <w:tcPr>
            <w:tcW w:w="1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2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2007</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b w:val="1"/>
                <w:bCs w:val="1"/>
                <w:color w:val="auto"/>
              </w:rPr>
              <w:t>Domestic</w:t>
            </w:r>
          </w:p>
        </w:tc>
        <w:tc>
          <w:tcPr>
            <w:tcW w:w="1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7"/>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Transplants</w:t>
            </w:r>
            <w:r>
              <w:rPr>
                <w:rFonts w:ascii="Arial" w:cs="Arial" w:eastAsia="Arial" w:hAnsi="Arial"/>
                <w:sz w:val="21"/>
                <w:szCs w:val="21"/>
                <w:b w:val="1"/>
                <w:bCs w:val="1"/>
                <w:color w:val="auto"/>
                <w:vertAlign w:val="superscript"/>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b w:val="1"/>
                <w:bCs w:val="1"/>
                <w:color w:val="auto"/>
              </w:rPr>
              <w:t>North America</w:t>
            </w:r>
          </w:p>
        </w:tc>
        <w:tc>
          <w:tcPr>
            <w:tcW w:w="1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77"/>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Europe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Asia-Pacific</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3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4"/>
          <w:szCs w:val="14"/>
          <w:color w:val="auto"/>
        </w:rPr>
        <w:t>European and Asian based automakers with automotive production plants in North America.</w:t>
      </w:r>
    </w:p>
    <w:p>
      <w:pPr>
        <w:spacing w:after="0" w:line="200" w:lineRule="exact"/>
        <w:rPr>
          <w:sz w:val="20"/>
          <w:szCs w:val="20"/>
          <w:color w:val="auto"/>
        </w:rPr>
      </w:pPr>
    </w:p>
    <w:p>
      <w:pPr>
        <w:spacing w:after="0" w:line="29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Revenues by major geographic area are disclosed in </w:t>
      </w:r>
      <w:hyperlink w:anchor="page62">
        <w:r>
          <w:rPr>
            <w:rFonts w:ascii="Arial" w:cs="Arial" w:eastAsia="Arial" w:hAnsi="Arial"/>
            <w:sz w:val="18"/>
            <w:szCs w:val="18"/>
            <w:u w:val="single" w:color="auto"/>
            <w:color w:val="0000EE"/>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Historically, new safety and comfort and convenience options have entered the original equipment automotive market at relatively low rates on “top of the line” or luxury model automobiles. As the selection rates for the options on the luxury models increase, they generally become available on more models throughout the product line. The ongoing trend of domestic and foreign automakers is to offer several options as a package. The Company believes that its automatic-dimming mirrors with and without advanced features will be offered in more option packages, and continue to be available on more small and mid-size vehicle models as consumer awareness of these safety and comfort and convenience features continues to grow, and as the Company continues its efforts to make automakers aware of the Company's technology available on competitive vehicle platforms.</w:t>
      </w:r>
    </w:p>
    <w:p>
      <w:pPr>
        <w:spacing w:after="0" w:line="10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u w:val="single" w:color="auto"/>
          <w:color w:val="auto"/>
        </w:rPr>
        <w:t>Automotive Rearview Mirrors and Electronics Competition</w:t>
      </w:r>
      <w:r>
        <w:rPr>
          <w:rFonts w:ascii="Arial" w:cs="Arial" w:eastAsia="Arial" w:hAnsi="Arial"/>
          <w:sz w:val="18"/>
          <w:szCs w:val="18"/>
          <w:color w:val="auto"/>
        </w:rPr>
        <w:t>. The Company continues to be the leading producer of automatic-dimming rearview</w:t>
      </w:r>
      <w:r>
        <w:rPr>
          <w:rFonts w:ascii="Arial" w:cs="Arial" w:eastAsia="Arial" w:hAnsi="Arial"/>
          <w:sz w:val="18"/>
          <w:szCs w:val="18"/>
          <w:i w:val="1"/>
          <w:iCs w:val="1"/>
          <w:color w:val="auto"/>
        </w:rPr>
        <w:t xml:space="preserve"> </w:t>
      </w:r>
      <w:r>
        <w:rPr>
          <w:rFonts w:ascii="Arial" w:cs="Arial" w:eastAsia="Arial" w:hAnsi="Arial"/>
          <w:sz w:val="18"/>
          <w:szCs w:val="18"/>
          <w:color w:val="auto"/>
        </w:rPr>
        <w:t>mirrors in the world and currently is the dominant supplier to the automotive industry with an approximate 93% market share worldwide in 2017 and an approximate 92% market share in 2016. While the Company believes it will retain a dominant position in automatic-dimming rearview mirrors for some time, another U.S. manufacturer, Magna Mirrors, a division of Magna International Inc. ("Magna"), continues to compete for sales to domestic and foreign vehicle manufacturers and is supplying a number of domestic and foreign vehicle models with its versions of auto-dimming mirrors and may have considerably more resources available to it. As such, Magna may present a formidable competitive threat. The Company also continues to sell automatic-dimming exterior mirror sub-assemblies to Magna Mirrors. In addition, a Japanese manufacturer (Tokai Rika) is currently supplying a few vehicle models in Japan with solid-state electrochromic mirrors. There are also a small number of Chinese domestic mirror suppliers that are marketing and selling automatic-dimming rearview mirrors, in low volume, within the domestic China automotive market. The Company currently believes, however, that these Chinese domestic mirror suppliers do not at this time meet global automotive grade specifications. Additionally, other companies have demonstrated products that are competitive to the Company's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 and the Company acknowledges that dimming device (e.g., electrochromic) technology is the subject of research and development efforts by third parties.</w:t>
      </w:r>
    </w:p>
    <w:p>
      <w:pPr>
        <w:spacing w:after="0" w:line="13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Through the Company's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function, the Company is the sole supplier of integrated wireless in-vehicle communication devices to the automotive industry for communication with garages, gates, parking barriers, and certain home automation products.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business continues to be awarded to the Company either through its automatic-dimming rearview mirrors, or through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electronic modules which are integrated into other areas of the automobile (i.e. visors, overhead consoles, and center consoles). In 2014, the Company announced HomeLink</w:t>
      </w:r>
      <w:r>
        <w:rPr>
          <w:rFonts w:ascii="Arial" w:cs="Arial" w:eastAsia="Arial" w:hAnsi="Arial"/>
          <w:sz w:val="21"/>
          <w:szCs w:val="21"/>
          <w:color w:val="auto"/>
          <w:vertAlign w:val="superscript"/>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15" w:right="239" w:bottom="1440" w:gutter="0" w:footer="0" w:header="0"/>
        </w:sectPr>
      </w:pPr>
    </w:p>
    <w:bookmarkStart w:id="5" w:name="page6"/>
    <w:bookmarkEnd w:id="5"/>
    <w:p>
      <w:pPr>
        <w:jc w:val="both"/>
        <w:spacing w:after="0" w:line="241" w:lineRule="auto"/>
        <w:rPr>
          <w:sz w:val="20"/>
          <w:szCs w:val="20"/>
          <w:color w:val="auto"/>
        </w:rPr>
      </w:pPr>
      <w:r>
        <w:rPr>
          <w:rFonts w:ascii="Arial" w:cs="Arial" w:eastAsia="Arial" w:hAnsi="Arial"/>
          <w:sz w:val="18"/>
          <w:szCs w:val="18"/>
          <w:color w:val="auto"/>
        </w:rPr>
        <w:t>applications for alternative automobiles and vehicle types which include but are not limited to motorcycles, mopeds, snowmobiles, tractors, combines, lawn mowers, loaders, backhoes and golf carts. These product developments will utilize the market leading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 system of communication to the home, door locks, garage doors, gates, lights, security systems, and an increasing array of home automation products. The Company announced in January 2018 the launch of HomeLink Connect™, an extension of the Company's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feature and an all-new home automation app that pairs with the vehicle and allows drivers to operate home automation devices from the vehicle’s center console display and/or rearview mirror controls. Drivers of HomeLink Connect™ compatible vehicles will be able to download and configure the app to control a myriad of individual home automation devices, or create entire home automation settings. The Company believes it is being awarded virtually all business in this area and that while the Company believes it continues to maintain a competitive advantage in this area, the increased focus on vehicle and home connectivity through other devices represents a competitive threat to this business.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believes its electrochromic automatic-dimming mirrors and mirrors with advanced electronic features offer significant performance advantages over competing products and the Company makes significant research and development investments to continue to increase and improve the performance advantages of its products.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numerous other companies in the world conducting research on various technologies, including electrochromics, for controlling light transmission and reflection. The Company currently believes that the electrochromic materials and manufacturing process it uses for automotive mirrors remains the most efficient and cost-effective way to produce such products. While automatic-dimming mirrors using other technologies may eliminate glare, the Company currently believes that each of these technologies have inherent cost or performance limitations as compared to the Company's technologies.</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the Company continues to expand its automatic-dimming mirror products with additional advanced electronic features and expands the capabilities of its CMOS imager technology for additional features (i.e. SmartBeam</w:t>
      </w:r>
      <w:r>
        <w:rPr>
          <w:rFonts w:ascii="Arial" w:cs="Arial" w:eastAsia="Arial" w:hAnsi="Arial"/>
          <w:sz w:val="21"/>
          <w:szCs w:val="21"/>
          <w:color w:val="auto"/>
          <w:vertAlign w:val="superscript"/>
        </w:rPr>
        <w:t>®</w:t>
      </w:r>
      <w:r>
        <w:rPr>
          <w:rFonts w:ascii="Arial" w:cs="Arial" w:eastAsia="Arial" w:hAnsi="Arial"/>
          <w:sz w:val="18"/>
          <w:szCs w:val="18"/>
          <w:color w:val="auto"/>
        </w:rPr>
        <w:t>, FDM</w:t>
      </w:r>
      <w:r>
        <w:rPr>
          <w:rFonts w:ascii="Arial" w:cs="Arial" w:eastAsia="Arial" w:hAnsi="Arial"/>
          <w:sz w:val="21"/>
          <w:szCs w:val="21"/>
          <w:color w:val="auto"/>
          <w:vertAlign w:val="superscript"/>
        </w:rPr>
        <w:t>®</w:t>
      </w:r>
      <w:r>
        <w:rPr>
          <w:rFonts w:ascii="Arial" w:cs="Arial" w:eastAsia="Arial" w:hAnsi="Arial"/>
          <w:sz w:val="18"/>
          <w:szCs w:val="18"/>
          <w:color w:val="auto"/>
        </w:rPr>
        <w:t>, driver-assist features, rear video camera, etc.), as well as continuing to expand the capabilities of the Company's CMS technology, the Company recognizes that it is competing with considerably larger and more geographically diverse electronics companies that could present a formidable competitive threat in the future as new products/features and technologies are brought to market.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Dimmable Aircraft Windows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provides variable dimmable windows for the passenger compartment on the Boeing 787 Dreamliner Series of Aircraft. The Company continues to ship parts for the Boeing 787 Dreamliner Series of Aircraft.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markets its variable dimmable windows to aircraft manufacturers globally.</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variable dimmable aircraft windows are the first commercialized product of its kind for original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installation in the aircraft industry. Other manufacturers are working to develop and sell competing products utilizing other technology in the aircraft industry for aftermarket or original equipment installation.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success with electrochromic technology provides potential opportunities for other commercial applications, which the Company expects to explore in the future when and as the Company feels it is in its best interests to do so.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Fire Protection Products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manufactures photoelectric smoke detectors and alarms, visual signaling alarms, photoelectric smoke detectors and electrochemical carbon monoxide alarms, electrochemical carbon monoxide detectors and alarms, audible and visual signaling alarms, and bells and speakers for use in fire detection systems in office buildings, hotels, and other commercial and residential establishments.</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Markets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fire protection products are sold directly to fire protection and security product distributors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brand name, to electrical wholesale houses, and to original equipment manufacturers of fire protection systems under both the Company’s brand name and private labels. The Company markets its fire protection products primarily in North America, but also globally through regional sales managers and manufacturer representative organizations.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fire protection products industry is highly competitive in terms of both the smoke detectors and signaling appliance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estimates that it competes principally with eight manufacturers of smoke detection products for commercial use and approximately four manufacturers within the residential market, three of which produce photoelectric smoke detectors. In the signaling appliance markets, the Company estimates it competes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33" w:right="239" w:bottom="1440" w:gutter="0" w:footer="0" w:header="0"/>
        </w:sectPr>
      </w:pPr>
    </w:p>
    <w:bookmarkStart w:id="6" w:name="page7"/>
    <w:bookmarkEnd w:id="6"/>
    <w:p>
      <w:pPr>
        <w:jc w:val="both"/>
        <w:spacing w:after="0" w:line="256" w:lineRule="auto"/>
        <w:rPr>
          <w:sz w:val="20"/>
          <w:szCs w:val="20"/>
          <w:color w:val="auto"/>
        </w:rPr>
      </w:pPr>
      <w:r>
        <w:rPr>
          <w:rFonts w:ascii="Arial" w:cs="Arial" w:eastAsia="Arial" w:hAnsi="Arial"/>
          <w:sz w:val="18"/>
          <w:szCs w:val="18"/>
          <w:color w:val="auto"/>
        </w:rPr>
        <w:t>with approximately eight manufacturers. While the Company faces significant competition in the sale of smoke detectors and signaling appliances, it believes that the introduction of new products, improvements to its existing products, its diversified product line, and the availability of special features will permit the Company to maintain its competitive position.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 and Patents</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owns 36 U.S. Registered Trademarks and 581 U.S. Patents, of which 29 Registered Trademarks and 534 patents relate to electrochromic technology, automotive rearview mirrors, microphones, displays, cameras, sensor technology, and/or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products. These patents expire at various times between 2018 and 2036. The Company believes that these patents provide the Company a competitive advantage in its markets, although no single patent is necessarily required for the success of the Company's products.</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also owns 290 foreign Registered Trademarks and 722 foreign patents, of which 272 Registered Trademarks and 705 patents relate to electrochromic technology, automotive rearview mirrors, microphones, displays, cameras, sensor technology, and/or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products. These patents expire at various times between 2018 and 2042. The Company believes that the competitive advantage derived in the relevant foreign markets for these patents is comparable to that experienced in the U.S. market.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owns 30 U.S. Patents and 8 foreign patents that relate specifically to the Company’s variable dimmable windows. The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Patents expire between 2020 and 2034, while the foreign patents expire between 2021 and 2027.</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owns 7 U.S. Registered Trademarks, 17 U.S. Patents, 18 foreign Registered Trademarks, and 11 foreign patents that relate to the Company’s fire protection products. The US Patents expire between 2019 and 2035, while the foreign patents expire between 2020 and 2030. The Company believes that the competitive advantage provided by these patents is relatively small.</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also has in process 269 U.S. patent applications, 304 foreign patent applications, and 77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Company periodically obtains intellectual property rights, in the ordinary course of the Company's business, to strengthen its intellectual property portfolio and minimize potential risks of infringement.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considers itself to be engaged in the manufacture and sale of automatic-dimming rearview mirrors, non-automatic-dimming rearview mirrors and electronics for the automotive industry, variable dimmable windows for the aviation industry, and commercial smoke alarms and signaling devices for the fire protection industry. The Company has several important customers within the automotive industry, four of which each account for 10% or more of the Company's net sales in 2017 (including direct sales to OEM customers and sales through their Tier 1 suppliers): Volkswagen Group, Toyota Motor Company, Daimler Group, and Ford Motor Company. The loss of any of these customers (or certain other significant customers) could have a material adverse effect on the Company's business, financial condition, and/or results of operations. The Company’s backlog of unshipped orders was $463.3 million and $459.6 million at February 1, 2018, and 2017, respectively.</w:t>
      </w:r>
    </w:p>
    <w:p>
      <w:pPr>
        <w:spacing w:after="0" w:line="126"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As of February 1, 2018, the Company had 5,481 full-time employees. None of the Company’s employees are represented by a labor union or other collective bargaining representative. The Company believes that its relations with its employees are in good standing. See "Executive Officers of the Registrant" in </w:t>
      </w:r>
      <w:hyperlink w:anchor="page30">
        <w:r>
          <w:rPr>
            <w:rFonts w:ascii="Arial" w:cs="Arial" w:eastAsia="Arial" w:hAnsi="Arial"/>
            <w:sz w:val="18"/>
            <w:szCs w:val="18"/>
            <w:u w:val="single" w:color="auto"/>
            <w:color w:val="0000EE"/>
          </w:rPr>
          <w:t>Part III, Item 10</w:t>
        </w:r>
      </w:hyperlink>
      <w:r>
        <w:rPr>
          <w:rFonts w:ascii="Arial" w:cs="Arial" w:eastAsia="Arial" w:hAnsi="Arial"/>
          <w:sz w:val="18"/>
          <w:szCs w:val="18"/>
          <w:color w:val="auto"/>
        </w:rPr>
        <w:t>.</w:t>
      </w:r>
    </w:p>
    <w:p>
      <w:pPr>
        <w:spacing w:after="0" w:line="12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Information About Geographic Areas</w:t>
      </w:r>
    </w:p>
    <w:p>
      <w:pPr>
        <w:spacing w:after="0" w:line="166" w:lineRule="exact"/>
        <w:rPr>
          <w:rFonts w:ascii="Arial" w:cs="Arial" w:eastAsia="Arial" w:hAnsi="Arial"/>
          <w:sz w:val="18"/>
          <w:szCs w:val="18"/>
          <w:b w:val="1"/>
          <w:bCs w:val="1"/>
          <w:color w:val="auto"/>
        </w:rPr>
      </w:pPr>
    </w:p>
    <w:p>
      <w:pPr>
        <w:ind w:left="660" w:right="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See the Narrative Description of Business (Item 1(c)) and </w:t>
      </w:r>
      <w:hyperlink w:anchor="page62">
        <w:r>
          <w:rPr>
            <w:rFonts w:ascii="Arial" w:cs="Arial" w:eastAsia="Arial" w:hAnsi="Arial"/>
            <w:sz w:val="18"/>
            <w:szCs w:val="18"/>
            <w:u w:val="single" w:color="auto"/>
            <w:color w:val="0000EE"/>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Consolidated Financial Statements for certain information regarding geographic areas.</w:t>
      </w:r>
    </w:p>
    <w:p>
      <w:pPr>
        <w:spacing w:after="0" w:line="120"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Information</w:t>
      </w:r>
    </w:p>
    <w:p>
      <w:pPr>
        <w:spacing w:after="0" w:line="166" w:lineRule="exact"/>
        <w:rPr>
          <w:rFonts w:ascii="Arial" w:cs="Arial" w:eastAsia="Arial" w:hAnsi="Arial"/>
          <w:sz w:val="18"/>
          <w:szCs w:val="18"/>
          <w:b w:val="1"/>
          <w:bCs w:val="1"/>
          <w:color w:val="auto"/>
        </w:rPr>
      </w:pPr>
    </w:p>
    <w:p>
      <w:pPr>
        <w:ind w:left="6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quarterly reports on Form 10-Q, current reports on Form 8-K, and all amendments to those reports, will be made available, free of charge, through the Investor Information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33" w:right="239" w:bottom="1440" w:gutter="0" w:footer="0" w:header="0"/>
        </w:sectPr>
      </w:pPr>
    </w:p>
    <w:bookmarkStart w:id="7" w:name="page8"/>
    <w:bookmarkEnd w:id="7"/>
    <w:p>
      <w:pPr>
        <w:jc w:val="both"/>
        <w:ind w:left="660"/>
        <w:spacing w:after="0" w:line="254" w:lineRule="auto"/>
        <w:rPr>
          <w:sz w:val="20"/>
          <w:szCs w:val="20"/>
          <w:color w:val="auto"/>
        </w:rPr>
      </w:pPr>
      <w:r>
        <w:rPr>
          <w:rFonts w:ascii="Arial" w:cs="Arial" w:eastAsia="Arial" w:hAnsi="Arial"/>
          <w:sz w:val="18"/>
          <w:szCs w:val="18"/>
          <w:color w:val="auto"/>
        </w:rPr>
        <w:t>section of the Company’s Internet website (</w:t>
      </w:r>
      <w:r>
        <w:rPr>
          <w:rFonts w:ascii="Arial" w:cs="Arial" w:eastAsia="Arial" w:hAnsi="Arial"/>
          <w:sz w:val="18"/>
          <w:szCs w:val="18"/>
          <w:u w:val="single" w:color="auto"/>
          <w:color w:val="auto"/>
        </w:rPr>
        <w:t>http://ir.gentex.com</w:t>
      </w:r>
      <w:r>
        <w:rPr>
          <w:rFonts w:ascii="Arial" w:cs="Arial" w:eastAsia="Arial" w:hAnsi="Arial"/>
          <w:sz w:val="18"/>
          <w:szCs w:val="18"/>
          <w:color w:val="auto"/>
        </w:rPr>
        <w:t>) as soon as practicable after such materials are electronically filed with or furnished to the Securities and Exchange Commission ("SEC"). The SEC maintains an Internet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issues that a company files electronically with the SEC.</w:t>
      </w:r>
    </w:p>
    <w:p>
      <w:pPr>
        <w:spacing w:after="0" w:line="1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tab/>
        <w:t>Risk Factors.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Safe Harbor for Forward-Looking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This Annual Report on Form 10-K contains forward-looking statements within the meaning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“goal”, “hope”, “may”, “plan”, “project”,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 autonomous driving); our ability to be awarded new business; continued uncertainty in pricing negotiations with customers; loss of business from increased competition; changes in strategic relationships; customer bankruptcies or divestiture of customer brands; fluctuation in vehicle production schedules; changes in product mix; raw material shortages;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litigations including securities litigations relating to the conduct of our business. Readers are cautioned not to place undue reliance on these forward-looking statements, which speak only as of the date they are made. The Company undertakes no obligation to publicly update or revise any forward-looking statement, whether as a result of new information, future events or otherwise, except as required by law or the rules of the NASDAQ Global Select Market.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risk factors, together with all other information provided in this Annual Report on Form 10-K should be carefully considered.</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Automotive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98% of our net sales are to customers within the automotive industry. The automotive industry has always been cyclical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highly impacted by levels of economic activity. The current economic environment, while stable, continues to provide some uncertainty and continues to cause increased financial and production stresses evidenced by volatile production levels, volatility with customer orders, supplier part and material shortages, automotive and tier one supplier plant shutdowns, customer and supplier financial issues/bankruptcies, commodity material cost increases, consumer vehicle preference shifts, where we may have a lower penetration rate and lower content per vehicle, and supply chain stresses. If automotive customers (including their Tier 1 suppliers) and suppliers experience plant shutdowns, work stoppages, strikes, part shortages, etc., it could disrupt our shipments to these customers, which could adversely affect our business, financial condition, and/or results of operations.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Automakers continue to experience volatility and uncertainty in executing planned new programs which can result in delays or cancellations of new vehicle platforms, package configurations, and inaccurate volume forecasts. This makes it difficult for us to forecast future sales and manage costs, inventory, capital, engineering, research and development, and human resource investments.</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Key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 number of large customers, including four automotive customers which each account for 10% or more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annual net sales in 2017 (including direct sales to OEM customers and sales through their Tier 1 suppliers): Volkswagen Group, Toyota Motor Company, Daimler Group, and Ford Motor Company. The loss of all or a substantial portion of the sales to, or decreases in production by, any of these customers (or certain other significant customers) could have a material adverse effect on our business, financial condition, and/or results of operations.</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Pricing Pressures.</w:t>
      </w:r>
      <w:r>
        <w:rPr>
          <w:rFonts w:ascii="Arial" w:cs="Arial" w:eastAsia="Arial" w:hAnsi="Arial"/>
          <w:sz w:val="18"/>
          <w:szCs w:val="18"/>
          <w:i w:val="1"/>
          <w:iCs w:val="1"/>
          <w:color w:val="auto"/>
        </w:rPr>
        <w:t xml:space="preserve"> </w:t>
      </w:r>
      <w:r>
        <w:rPr>
          <w:rFonts w:ascii="Arial" w:cs="Arial" w:eastAsia="Arial" w:hAnsi="Arial"/>
          <w:sz w:val="18"/>
          <w:szCs w:val="18"/>
          <w:color w:val="auto"/>
        </w:rPr>
        <w:t>We continue to experience on-going pricing pressures from our automotive customers and competitors, which have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and which will continue to affect our profit margins to the extent that we are unable to offset the price reductions with engineering and purchasing cost reductions, productivity improvements, increases in unit shipments of mirrors and electronics with advanced features, each of which pose an ongoing challenge, which could adversely impact our business, financial condition, and/or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33" w:right="239" w:bottom="1440" w:gutter="0" w:footer="0" w:header="0"/>
        </w:sectPr>
      </w:pPr>
    </w:p>
    <w:bookmarkStart w:id="8" w:name="page9"/>
    <w:bookmarkEnd w:id="8"/>
    <w:p>
      <w:pPr>
        <w:jc w:val="both"/>
        <w:ind w:right="20"/>
        <w:spacing w:after="0" w:line="282" w:lineRule="auto"/>
        <w:rPr>
          <w:sz w:val="20"/>
          <w:szCs w:val="20"/>
          <w:color w:val="auto"/>
        </w:rPr>
      </w:pPr>
      <w:r>
        <w:rPr>
          <w:rFonts w:ascii="Arial" w:cs="Arial" w:eastAsia="Arial" w:hAnsi="Arial"/>
          <w:sz w:val="18"/>
          <w:szCs w:val="18"/>
          <w:i w:val="1"/>
          <w:iCs w:val="1"/>
          <w:u w:val="single" w:color="auto"/>
          <w:color w:val="auto"/>
        </w:rPr>
        <w:t>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We recognize that Magna Mirrors, our main competitor, may have considerably more resources available to it, and may present a</w:t>
      </w:r>
      <w:r>
        <w:rPr>
          <w:rFonts w:ascii="Arial" w:cs="Arial" w:eastAsia="Arial" w:hAnsi="Arial"/>
          <w:sz w:val="18"/>
          <w:szCs w:val="18"/>
          <w:i w:val="1"/>
          <w:iCs w:val="1"/>
          <w:color w:val="auto"/>
        </w:rPr>
        <w:t xml:space="preserve"> </w:t>
      </w:r>
      <w:r>
        <w:rPr>
          <w:rFonts w:ascii="Arial" w:cs="Arial" w:eastAsia="Arial" w:hAnsi="Arial"/>
          <w:sz w:val="18"/>
          <w:szCs w:val="18"/>
          <w:color w:val="auto"/>
        </w:rPr>
        <w:t>formidable competitive threat.</w:t>
      </w:r>
    </w:p>
    <w:p>
      <w:pPr>
        <w:spacing w:after="0" w:line="177"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Additionally, other companies have demonstrated products that are competitive to our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 and we acknowledge that dimming device (e.g., electrochromic) technology is the subject of research and development efforts by third parties.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31, 2014, the NHTSA issued a final rule requiring rearview video systems in U.S. light vehicles by May 1, 2018, with a phase-in schedule requirement of 10% of vehicles after May 2016, 40% of vehicles after May 2017, and 100% of vehicles after May 2018. In this release, NHTSA estimated that 57% of model year 2014 vehicles already have a rear video system, and that even without a final rule, 73% of the vehicles sold into North America would have already included a rearview video system by 2018. The Company’s RCD mirror application meets all the technical requirements of the NHTSA rule when installed in a vehicle and appropriately paired with an OEM specified camera. The NHTSA rule that rearview video systems are required has increased competition for systems capable of rear video in a variety of locations in the vehicle. Our RCD mirror application has and will continue to be affected by this increased competition.</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is a driver-assist feature for headlamp lighting control that competes with other multiple-function driver-assist features that include headlamp lighting control as one of the multiple functions. While we believe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low cost solution for a safety feature that makes nighttime driving safer by maximizing a vehicle's high-beam usage, competition from multiple-function driver-assist products could impact the success of SmartBeam</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7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 to allow automakers to use CMS as an option to replace conventional rearview mirrors within North America, however, no final rule or legislation was made in response to this petition.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In the second half of 2017, NHTSA published its Fiscal Year 2018 Budget Estimate that references rear visibility as an area for deregulation consideration. With that said, the Unified Agenda of Regulatory and Deregulatory Actions, published by the Trump Administration after the NHTSA Fiscal Year 2018 Budget Estimate, does not reference rule making for new or changed requirements of the rear visibility standard.</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camera monitor systems to replace mirrors within Japan and European countries. As of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The Company has launched a rear vision camera system that streams rear video to a rearview-mirror-integrated display using the Company's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This CMS solution uses three cameras to provide a comprehensive view of the sides and rear of the vehicle. The Company also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19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u w:val="single" w:color="auto"/>
          <w:color w:val="auto"/>
        </w:rPr>
        <w:t>Product Mix.</w:t>
      </w:r>
      <w:r>
        <w:rPr>
          <w:rFonts w:ascii="Arial" w:cs="Arial" w:eastAsia="Arial" w:hAnsi="Arial"/>
          <w:sz w:val="18"/>
          <w:szCs w:val="18"/>
          <w:i w:val="1"/>
          <w:iCs w:val="1"/>
          <w:color w:val="auto"/>
        </w:rPr>
        <w:t xml:space="preserve"> </w:t>
      </w:r>
      <w:r>
        <w:rPr>
          <w:rFonts w:ascii="Arial" w:cs="Arial" w:eastAsia="Arial" w:hAnsi="Arial"/>
          <w:sz w:val="18"/>
          <w:szCs w:val="18"/>
          <w:color w:val="auto"/>
        </w:rPr>
        <w:t>We sell products that have varying profit margins. Our financial performance can be impacted depending on the mix of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we sell during a given period. The automotive industry is subject to rapid technological change, vigorous competition, short product life cycles and cyclical, ever-changing consumer demand patterns. When our customers are adversely affected by these factors, we may be similarly affected to the extent that our customers reduce the volume of orders for our products. As a result of such changes and circumstances impacting our customers, sales mix can shift which may have either favorable or unfavorable impact on revenue and would include shifts in regional growth, in OEM sales demand, as well as in consumer demand related to vehicle segment purchases and content penetration. A decrease in consumer demand for specific types of vehicles where we have traditionally provided significant content could have a significant effect on our business, financial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9" w:name="page10"/>
    <w:bookmarkEnd w:id="9"/>
    <w:p>
      <w:pPr>
        <w:ind w:right="20"/>
        <w:spacing w:after="0" w:line="256" w:lineRule="auto"/>
        <w:rPr>
          <w:sz w:val="20"/>
          <w:szCs w:val="20"/>
          <w:color w:val="auto"/>
        </w:rPr>
      </w:pPr>
      <w:r>
        <w:rPr>
          <w:rFonts w:ascii="Arial" w:cs="Arial" w:eastAsia="Arial" w:hAnsi="Arial"/>
          <w:sz w:val="18"/>
          <w:szCs w:val="18"/>
          <w:color w:val="auto"/>
        </w:rPr>
        <w:t>condition, and/or results of operations. Our forward guidance and estimates assume a certain geographic sales mix as well as a product sales mix. If actual results vary from this projected geographic and product mix of sales, our business, financial condition, and/or results of operations could be negatively impacted.</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Business Combinations.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anticipate that acquisitions of businesses and assets may play a role in our future growth. We cannot be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will be able to identify attractive acquisition targets, obtain financing for acquisitions on satisfactory terms, successfully acquire identified targets or manage timing of acquisitions with capital obligations across our businesses. Additionally, we may not be successful in integrating acquired businesses into our existing operations, achieving projected synergies, and/or maximizing the value of acquired technologies and businesses. Competition for acquisition opportunities in the various industries in which we operate already exists and may increase, thereby potentially increasing our costs of making acquisitions or causing us to refrain from making further acquisitions. We are also subject to applicable antitrust laws and must avoid anticompetitive behavior. These and other acquisition-related factors may negatively and adversely impact our business, financial condition, and/or results of operations.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Intellectual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that our patents and trade secrets provide us with a competitive advantage in automotive rearview mirrors,</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dimmable windows, electronics, and fire protection products, although no single patent is necessarily required for the success of our products. The loss of any significant combination of patents and trade secrets regarding our products could adversely affect our business, financial condition, and/or results of operations. Lack of intellectual property protection in a number of countries, including China, poses risk for the Company. This trend represents an increasing risk to technology companies in the United States, including the Company.</w:t>
      </w:r>
    </w:p>
    <w:p>
      <w:pPr>
        <w:spacing w:after="0" w:line="1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New Technology and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We continue to invest a significant portion of our annual sales in engineering,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projects. Should these efforts ultimately prove unsuccessful, our business, financial condition, and/or results of operations could be adversely affected.</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Intellectual Property Litigation and Infringement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 successful claim of patent or other intellectual property infringement and damages</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us could affect our profitability and future growth. If someone claims that our products infringed their intellectual property rights, any resulting litigation could be costly and time consuming and would divert the attention of management and key personnel from other business issues. The complexity of the technology involved in our business and the uncertainty of intellectual property litigation significantly increases these risks and makes such risk part of our on-going business. To that end, we periodically obtain intellectual property rights, in the ordinary course of business, to strengthen our intellectual property portfolio and minimize potential risks of infringement. The increasing tendency of patents granted to others on combinations of known technology is a potential threat to our Company. Any of these adverse consequences could potentially have an effect on our business, financial condition and/or results of operations.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Credit Risk.</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automakers and Tier 1 customers may be considering the sale of certain business segments or bankruptcy. Should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of our larger customers (including sales through their Tier 1 suppliers) declare bankruptcy or sell their business, it could adversely affect the collection of receivables, our business, financial condition, and/or results of operations. The current economic environment continues to cause increased financial pressures and production stresses on our customers, which could impact the timeliness of customer payments and ultimately the collectability of receivables.</w:t>
      </w:r>
    </w:p>
    <w:p>
      <w:pPr>
        <w:spacing w:after="0" w:line="121" w:lineRule="exact"/>
        <w:rPr>
          <w:sz w:val="20"/>
          <w:szCs w:val="20"/>
          <w:color w:val="auto"/>
        </w:rPr>
      </w:pPr>
    </w:p>
    <w:p>
      <w:pPr>
        <w:jc w:val="both"/>
        <w:ind w:right="2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Our overall allowance for doubtful accounts primarily relates to financially distressed automotive mirror and electronics customers. We continue to work with these financially distressed customers in collecting past due balances. Refer to </w:t>
      </w:r>
      <w:hyperlink w:anchor="page45">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the </w:t>
      </w:r>
      <w:hyperlink w:anchor="page40">
        <w:r>
          <w:rPr>
            <w:rFonts w:ascii="Arial" w:cs="Arial" w:eastAsia="Arial" w:hAnsi="Arial"/>
            <w:sz w:val="18"/>
            <w:szCs w:val="18"/>
            <w:u w:val="single" w:color="auto"/>
            <w:color w:val="0000EE"/>
          </w:rPr>
          <w:t>Consolidated Financial Statements</w:t>
        </w:r>
      </w:hyperlink>
      <w:r>
        <w:rPr>
          <w:rFonts w:ascii="Arial" w:cs="Arial" w:eastAsia="Arial" w:hAnsi="Arial"/>
          <w:sz w:val="18"/>
          <w:szCs w:val="18"/>
          <w:color w:val="auto"/>
        </w:rPr>
        <w:t xml:space="preserve"> for additional details regarding our allowance for doubtful accounts.</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Supply Chain Disruptions.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just-in-time supply chains within our business and the automotive industry, a disruption in a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caused by one or more of our suppliers and/or an unrelated Tier 1 supplier due to part shortages, natural disasters, work stoppages, strikes, bankruptcy, etc. could disrupt our shipments to one or more automakers or Tier 1 customers, which could adversely affect our business, financial condition, and/or results of operations.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Business Disruptions.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of our proprietary products employing electro-optic technology is performed at our manufacturing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Zeeland and Holland, Michigan. One of our manufacturing facilities is located in Holland, Michigan, which is approximately three miles from our other manufacturing facilities in Zeeland, Michigan. Should a catastrophic event occur, our ability to manufacture product, complete existing orders and provide other services could be severely impacted for an undetermined period of time. We have purchased business interruption insurance to address some of these potential costs. Our inability to conduct normal business operations for a period of time may have an adverse impact on our business, financial condition, and/or results of operations.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8" w:right="239" w:bottom="1440" w:gutter="0" w:footer="0" w:header="0"/>
        </w:sectPr>
      </w:pPr>
    </w:p>
    <w:bookmarkStart w:id="10" w:name="page11"/>
    <w:bookmarkEnd w:id="10"/>
    <w:p>
      <w:pPr>
        <w:jc w:val="both"/>
        <w:spacing w:after="0" w:line="252" w:lineRule="auto"/>
        <w:rPr>
          <w:sz w:val="20"/>
          <w:szCs w:val="20"/>
          <w:color w:val="auto"/>
        </w:rPr>
      </w:pPr>
      <w:r>
        <w:rPr>
          <w:rFonts w:ascii="Arial" w:cs="Arial" w:eastAsia="Arial" w:hAnsi="Arial"/>
          <w:sz w:val="18"/>
          <w:szCs w:val="18"/>
          <w:i w:val="1"/>
          <w:iCs w:val="1"/>
          <w:u w:val="single" w:color="auto"/>
          <w:color w:val="auto"/>
        </w:rPr>
        <w:t>IT Infrastructure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failure of our information technology ("IT") infrastructure could adversely impact our business, financial condition, and/or</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We rely upon the capacity, reliability and security of our information technology infrastructure and our ability to expand and continually update this infrastructure in response to the changing needs of our business. For example, we have implemented enterprise resource planning and other IT systems in certain aspects of our businesses over a period of several years and continue to update and further implement new systems going forward. These systems may not perform as expected. We also face the challenge of supporting our older systems and implementing necessary upgrades. If we experience a problem with the functioning of an important IT system or a security breach of our IT systems, the resulting disruptions could have an adverse effect on our business, financial condition, and/or results of operations. We, and certain of our third-party vendors, receive and store personal information in connection with our human resources operations and other aspects of our business. Despite our implementation of security measures, our IT systems, like all IT systems, are vulnerable to damages from computer viruses, natural disasters, unauthorized access, cyber-attack and other similar disruptions. Any system failure, accident or security breach could result in disruptions to our operations. A material network breach in the security of our IT systems could include the theft of our intellectual property, trade secrets or customer information. To the extent that any disruptions or security breach results in a loss or damage to our data, or an inappropriate disclosure of confidential or customer information, it could cause significant damage to our reputation, affect our relationships with our customers, lead to claims against the Company and ultimately harm our business, financial condition, and/or results of operations. In addition, we may be required to incur significant costs to protect against damage caused by these disruptions or security breaches in the future.</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 success depends on attracting and retaining qualified personnel. Our ability to sustain and grow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us to hire, retain and develop a highly skilled and diverse management team and workforce. Failure to ensure that we have the leadership capacity with the necessary skill sets and experience could impede our ability to deliver our growth objectives and execute our strategic plan. Organizational and reporting changes within management could result in increased turnover. In addition, any unplanned turnover or inability to attract and retain key employees, including managers, could have a negative effect on our business, financial condition and/or results of operations.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Government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Dodd-Frank Wall Street Reform and Consumer Protection Act contains provisions to improve transparency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accountability concerning the supply of certain minerals, known as conflict minerals, originating from the Democratic Republic of Congo ("DRC") and adjoining countries. As a result, in August 2012 the SEC adopted annual disclosure and reporting requirements for those companies who use conflict minerals mined from the DRC and adjoining countries in their products. These new requirements required due diligence efforts in 2013, 2014, 2015, 2016, and 2017, and the Company has disclosed its findings annually to the SEC on Form SD around May 30 each year. As there may be only a limited number of suppliers offering "conflict free" minerals, the Company cannot be sure that we will be able to obtain necessary conflict minerals from such suppliers in sufficient quantities or at competitive prices. Also, the Company may face reputational challenges if we determine that certain of our products contain minerals not determined to be conflict free or if the Company is unable to sufficiently verify the origins for all conflict minerals used in the Company's products through the procedures the Company may implement.</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 European vehicles could potentially replace the Company's SmartBeam application on these vehicles.</w:t>
      </w:r>
    </w:p>
    <w:p>
      <w:pPr>
        <w:spacing w:after="0" w:line="20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On December 8, 2015, the NHTSA proposed changes to the Administration’s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originally intended to implement the enhancements in NCAP in 2018 beginning with model year 2019 vehicles. In January 2017, NHTSA, published a notice on SafeCar.gov stating the new goal for implementation was calendar year 2019 for model year 2020; however, the notice has been removed from the aforementioned website after the January 20, 2017 Regulatory Freeze Pending Review Memorandum from the Trump Administration. In addition, the aforementioned NHTSA Fiscal Year 2018 Budget Estimate allocated a portion of the budget for NCAP, including the possibility of a new comment period and that NHTSA will consider modernizing portions of the lighting standard to permit innovation in the area of adaptive driving-beam headlights.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1" w:name="page12"/>
    <w:bookmarkEnd w:id="11"/>
    <w:p>
      <w:pPr>
        <w:jc w:val="both"/>
        <w:ind w:right="660"/>
        <w:spacing w:after="0" w:line="226" w:lineRule="auto"/>
        <w:rPr>
          <w:sz w:val="20"/>
          <w:szCs w:val="20"/>
          <w:color w:val="auto"/>
        </w:rPr>
      </w:pPr>
      <w:r>
        <w:rPr>
          <w:rFonts w:ascii="Arial" w:cs="Arial" w:eastAsia="Arial" w:hAnsi="Arial"/>
          <w:sz w:val="18"/>
          <w:szCs w:val="18"/>
          <w:color w:val="auto"/>
        </w:rPr>
        <w:t>The Company believes that its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exposed to interest rate changes primarily as a result of interest expense on borrowings used to finance an</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and working capital requirements. The Company's total variable-rate debt was $78.0 million as of December 31, 2017. As of December 31, 2017, the Company held one interest rate swap agreement denominated in U.S. dollars that effectively converts $150 million of its variable-rate debt to fixed-rate debt that had an effective date of July 31, 2015, and lasts through the term of the Company's loan agreement related thereto which is September 27, 2018. The interest rate swap derivative instrument is held and used by the Company as a tool for managing interest rate risk. The counterparty to the swap instrument is a large financial institution that the Company believes is of high-quality creditworthiness. While the Company may be exposed to potential losses due to the credit risk of non-performance by this counterparty, such losses are not anticipated. The fair value of the interest rate swap was recorded within other accrued liabilities in the amount of $0.2 million on December 31, 2017. As of December 31, 2017, the weighted-average interest rate on the Company's variable-rate debt was approximately 2.57%. Based on loan balances as of December 31, 2017, and the effective date of July 31, 2015 of the interest rate swap, a one percent increase in the Company's borrowing rate would increase net interest expense paid by the Company on its borrowings by less than $ 0.1 million on an annual basis. The Company does not enter into contracts for speculative or trading purposes, nor is it a party to any leveraged derivative instruments.</w:t>
      </w:r>
    </w:p>
    <w:p>
      <w:pPr>
        <w:spacing w:after="0" w:line="189" w:lineRule="exact"/>
        <w:rPr>
          <w:sz w:val="20"/>
          <w:szCs w:val="20"/>
          <w:color w:val="auto"/>
        </w:rPr>
      </w:pPr>
    </w:p>
    <w:p>
      <w:pPr>
        <w:jc w:val="both"/>
        <w:ind w:left="60"/>
        <w:spacing w:after="0" w:line="255" w:lineRule="auto"/>
        <w:rPr>
          <w:sz w:val="20"/>
          <w:szCs w:val="20"/>
          <w:color w:val="auto"/>
        </w:rPr>
      </w:pPr>
      <w:r>
        <w:rPr>
          <w:rFonts w:ascii="Arial" w:cs="Arial" w:eastAsia="Arial" w:hAnsi="Arial"/>
          <w:sz w:val="18"/>
          <w:szCs w:val="18"/>
          <w:i w:val="1"/>
          <w:iCs w:val="1"/>
          <w:u w:val="single" w:color="auto"/>
          <w:color w:val="auto"/>
        </w:rPr>
        <w:t>International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currently conduct operations in various countries and jurisdictions, including purchasing raw materials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from many different countries around the world, which subjects us to the legal, political, regulatory and social requirements as well as various economic conditions in these jurisdictions. Some of these countries are considered growth markets. International sales and operations, especially in growth markets, subject us to certain risks inherent in doing business abroad, including:</w:t>
      </w:r>
    </w:p>
    <w:p>
      <w:pPr>
        <w:spacing w:after="0" w:line="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Exposure to local economic, political and labor conditions;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changes in laws, regulations, trade or monetary or fiscal policy, including interest rates, foreign currency exchange rates and changes in the rate of inflation in the U.S. and other foreign countries;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Tariffs, quotas, customs and other import or export restrictions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Expropriation and nationalization;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of enforcing agreements, collecting receivables and protecting assets through non-U.S. legal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intellectual property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Withholding and other taxes on remittances and other payments by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restrictions or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Violence and civil unrest in local countries;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the requirements of an increasing body of applicable anti-bribery laws, including the U.S. Foreign Corrupt Practices Act, the U.K. Bribery Act and similar laws of various other countries; 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Exposure related to buying, selling and financing in currencies other than the local currencies of the countries in which we operate.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r>
        <w:rPr>
          <w:rFonts w:ascii="Arial" w:cs="Arial" w:eastAsia="Arial" w:hAnsi="Arial"/>
          <w:sz w:val="18"/>
          <w:szCs w:val="18"/>
          <w:i w:val="1"/>
          <w:iCs w:val="1"/>
          <w:color w:val="auto"/>
        </w:rPr>
        <w:t xml:space="preserve"> </w:t>
      </w:r>
      <w:r>
        <w:rPr>
          <w:rFonts w:ascii="Arial" w:cs="Arial" w:eastAsia="Arial" w:hAnsi="Arial"/>
          <w:sz w:val="18"/>
          <w:szCs w:val="18"/>
          <w:color w:val="auto"/>
        </w:rPr>
        <w:t>Other issues and uncertainties which could adversely impact our business, financial condition, and/or results of operations include:</w:t>
      </w:r>
    </w:p>
    <w:p>
      <w:pPr>
        <w:spacing w:after="0" w:line="243" w:lineRule="exact"/>
        <w:rPr>
          <w:sz w:val="20"/>
          <w:szCs w:val="20"/>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in commodity prices may adversely affect our business, financial condition and/or results of operations. If commodity prices rise, and if we are unable to recover these cost increases from our customers, such increases could have an adverse effect on our business, financial condition and/or results of operations;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 equity markets may negatively impact our financial performance due to an increase in realized losses on the sale of equity investments and/or recognized losses due to an Other-Than-Temporary Impairment adjustment on available-for-sale securities;</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conditions continue to be of concern in many of the regions in which we do business, given that our primary industry is greatly impacted by overall general economic conditions. Any continued adverse worldwide economic conditions, currency exchange rates, war or significant terrorist acts, could each affect worldwide automotive sales and production levels;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Manufacturing yield issues may negatively impact our business, financial condition and/or results of operations;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5" w:right="239" w:bottom="1440" w:gutter="0" w:footer="0" w:header="0"/>
        </w:sectPr>
      </w:pPr>
    </w:p>
    <w:bookmarkStart w:id="12" w:name="page13"/>
    <w:bookmarkEnd w:id="12"/>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Obligations and costs associated with addressing quality issues or warranty claims may adversely affect our business, financial condition and/or results of operations.</w:t>
      </w:r>
    </w:p>
    <w:p>
      <w:pPr>
        <w:spacing w:after="0" w:line="31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u w:val="single" w:color="auto"/>
          <w:color w:val="auto"/>
        </w:rPr>
        <w:t>Antitakeover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Our articles of incorporation, bylaws, and the laws of the state of Michigan include provisions that may provide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with adequate time to consider whether a hostile takeover offer is in our best interest and the best interests of our shareholders. These provisions, however, could discourage potential acquisition proposals and could delay or prevent a change in control.</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Fluctuations in Market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The market price for our common stock has fluctuated, ranging from a low of $16.59 to a high of $ 22.12 during</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overall market and the price of our common stock may continue to fluctuate. There may be a significant impact on the market price for our common stock relating to the issues discussed above or due to any of the following:</w:t>
      </w:r>
    </w:p>
    <w:p>
      <w:pPr>
        <w:spacing w:after="0" w:line="14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or the results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investors’ or analysts’ perceptions of the risks and conditions of our business and in particular our primary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Intellectual property litigation and infringement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of the public float of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conditions, including the industry in which we operate;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macroeconomic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8" w:right="239" w:bottom="1440" w:gutter="0" w:footer="0" w:header="0"/>
        </w:sectPr>
      </w:pPr>
    </w:p>
    <w:bookmarkStart w:id="13" w:name="page14"/>
    <w:bookmarkEnd w:id="13"/>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2017 the Company operates primarily out of facilities in Zeeland and Holland, Michigan, which consist of manufacturing and office space. The Company also operates a chemistry lab facility to support production in Zeeland, Michigan. In addition, the Company operates overseas offices in Europe and Asia as further discussed below. The office and production facility for the Fire Protection Products Group is a 25,000 square-foot, one-story building leased by the Company since 1978, which will be acquired by the Company in the first quarter of 2018 as previously announced.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North America</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corporate office and production facility for the Company’s Automotive Products Group is a modern, two-story, 150,000 square-foot building of steel and masonry construction situated on a 40-acre site in a well-kept industrial park. A second 128,000 square-foot office/manufacturing facility was completed on this site in 1996. The Company expanded its automotive production facilities by constructing a third 170,000 square-foot facility on its current site which opened in 2000.</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2002, the Company expanded its manufacturing operations in Zeeland, Michigan, with the construction of a 150,000 square-foot automotive mirror manufacturing facility. In 2003, the Company also announced plans for a new 200,000 square-foot technical office facility linking the fourth manufacturing facility with its existing corporate office and production facility. The Company completed the construction of this facility and the new technical center in 2006 at a total cost of approximately $38 million, which was funded from its cash and cash equivalents on hand.</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2008, the Company expanded its automotive exterior mirror manufacturing facility in Zeeland, Michigan, with the construction of a 60,000 square-foot building addition, which was completed at a cost of approximately $6 million, which was funded from cash and cash equivalents on hand.</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2010, the Company purchased an existing 108,000-square-foot electronics manufacturing facility in Holland, Michigan, which is located approximately three miles from its other manufacturing facilities in Zeeland, Michigan. The facility was operational in the first quarter of 2011 and at full capacity in the third quarter of 2011. The total cost to purchase the facility and building improvements was approximately $ 5 million, which was funded from cash and cash equivalents on hand. In 2012, the Company expanded this electronics assembly facility with the construction of a 125,000 square-foot expansion. The total cost of the facility expansion was approximately $25 million and was funded from cash and cash equivalents on hand.</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2012, the Company expanded its automotive exterior mirror manufacturing facility in Zeeland, Michigan, with the construction of a 32,000 square-foot building addition, which was completed at a cost of approximately $4 million. The Company also constructed a 60,000 square-foot chemistry lab facility in Zeeland, Michigan, which was completed as a cost of approximately $11.5 million. These expansion projects in 2012 were funded from cash and cash equivalents on hand.</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2013, the Company completed a 120,000 square-foot expansion project connecting two of its manufacturing facilities in Zeeland, Michigan, with a total cost of approximately $25 million. Also in 2013, the Company completed a 10,000 square-foot facility to centralize the production and distribution of chilled water that is used in production and chemistry labs, as well as air conditioning. This was completed for a total cost of approximately $11 million. The above projects were funded from cash and cash equivalents on hand.</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2017, the Company completed construction of a 250,000 square-foot manufacturing and distribution facility located at a 140 acre site in Zeeland, Michigan, with a total cost of approximately $63 million, which was funded from cash and cash equivalents on hand. The distribution portion of the facility was operational in 2016, and the manufacturing portion of the facility became operational in early 2017.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Europe</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also has sales and engineering offices throughout Europe to support its sales and engineering efforts. In 1993, the Company established a sales and engineering office in Germany and the following year, the Company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92" w:right="239" w:bottom="1440" w:gutter="0" w:footer="0" w:header="0"/>
        </w:sectPr>
      </w:pPr>
    </w:p>
    <w:bookmarkStart w:id="14" w:name="page15"/>
    <w:bookmarkEnd w:id="14"/>
    <w:p>
      <w:pPr>
        <w:jc w:val="both"/>
        <w:spacing w:after="0" w:line="254" w:lineRule="auto"/>
        <w:rPr>
          <w:sz w:val="20"/>
          <w:szCs w:val="20"/>
          <w:color w:val="auto"/>
        </w:rPr>
      </w:pPr>
      <w:r>
        <w:rPr>
          <w:rFonts w:ascii="Arial" w:cs="Arial" w:eastAsia="Arial" w:hAnsi="Arial"/>
          <w:sz w:val="18"/>
          <w:szCs w:val="18"/>
          <w:color w:val="auto"/>
        </w:rPr>
        <w:t>formed a German limited liability company, Gentex GmbH, to expand its sales and engineering support activities in Europe. In 2003, the Company constructed a 40,000 square-foot office and distribution facility in Erlenbach, Germany, at a cost of approximately $5 million, which was funded from cash and cash equivalents on hand. In 2016, the Company completed a 50,000 square-foot expansion of this facility, with a total cost of approximately $6 million, funded from cash and cash equivalents on hand.</w:t>
      </w:r>
    </w:p>
    <w:p>
      <w:pPr>
        <w:spacing w:after="0" w:line="123" w:lineRule="exact"/>
        <w:rPr>
          <w:sz w:val="20"/>
          <w:szCs w:val="20"/>
          <w:color w:val="auto"/>
        </w:rPr>
      </w:pPr>
    </w:p>
    <w:p>
      <w:pPr>
        <w:ind w:right="1820"/>
        <w:spacing w:after="0" w:line="407" w:lineRule="auto"/>
        <w:rPr>
          <w:sz w:val="20"/>
          <w:szCs w:val="20"/>
          <w:color w:val="auto"/>
        </w:rPr>
      </w:pPr>
      <w:r>
        <w:rPr>
          <w:rFonts w:ascii="Arial" w:cs="Arial" w:eastAsia="Arial" w:hAnsi="Arial"/>
          <w:sz w:val="18"/>
          <w:szCs w:val="18"/>
          <w:color w:val="auto"/>
        </w:rPr>
        <w:t xml:space="preserve">The Company also operates satellite sales and engineering offices in Pfaffenhofen, Sindelfingen and Cologne, Germany. The Company currently also operates sales and engineering offices out of the United Kingdom, France, and Sweden. </w:t>
      </w:r>
      <w:r>
        <w:rPr>
          <w:rFonts w:ascii="Arial" w:cs="Arial" w:eastAsia="Arial" w:hAnsi="Arial"/>
          <w:sz w:val="18"/>
          <w:szCs w:val="18"/>
          <w:b w:val="1"/>
          <w:bCs w:val="1"/>
          <w:u w:val="single" w:color="auto"/>
          <w:color w:val="auto"/>
        </w:rPr>
        <w:t>Asia</w:t>
      </w:r>
    </w:p>
    <w:p>
      <w:pPr>
        <w:jc w:val="both"/>
        <w:spacing w:after="0" w:line="256" w:lineRule="auto"/>
        <w:rPr>
          <w:sz w:val="20"/>
          <w:szCs w:val="20"/>
          <w:color w:val="auto"/>
        </w:rPr>
      </w:pPr>
      <w:r>
        <w:rPr>
          <w:rFonts w:ascii="Arial" w:cs="Arial" w:eastAsia="Arial" w:hAnsi="Arial"/>
          <w:sz w:val="18"/>
          <w:szCs w:val="18"/>
          <w:color w:val="auto"/>
        </w:rPr>
        <w:t>In 1998, the Company established Gentex Japan, Inc., as a sales and engineering office in Nagoya, Japan, to expand its sales and engineering support in Japan. In 2004, the Company established a satellite office in Yokohama, Japan. In 2011, the Company established a satellite office in Tochigi, Japan.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2002, the Company established Gentex Technologies Korea Co., Ltd. as a sales and engineering office in Seoul, Korea.</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2005, the Company opened a sales and engineering office near Shanghai, China. In 2006, the Company purchased a 25,000 square-foot office and distribution facility near Shanghai, China, at a cost of approximately $750,000, which was funded from cash and cash equivalents on hand. In 2017, the Company purchased a 40,000 square-foot office and distribution facility near Shanghai, China, at a cost of approximately $7.8 million, which was funded from cash and cash equivalents on hand.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Capacity</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facilities needs.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estimates that it currently has building capacity to manufacture approximately 30 - 33 million interior mirror units annually, based on current product mix. The Company evaluates equipment capacity on an ongoing basis and adds equipment as needed. In 2017, the Company shipped 28.3 million interior automatic-dimming mirrors.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automotive exterior mirror manufacturing facility has an estimated building capacity to manufacture approximately 13 - 15 million units annually, based on the current product mix. The Company evaluates equipment capacity on an ongoing basis and adds equipment as needed. In 2017, the Company shipped approximately 11.0 million exterior automatic-dimming mirrors.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any matters that constitute material pending legal proceedings that will have a material adverse effect on the financial position or future results of operations of the Company.</w:t>
      </w:r>
    </w:p>
    <w:p>
      <w:pPr>
        <w:spacing w:after="0" w:line="3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3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245" w:lineRule="exact"/>
        <w:rPr>
          <w:sz w:val="20"/>
          <w:szCs w:val="20"/>
          <w:color w:val="auto"/>
        </w:rPr>
      </w:pPr>
    </w:p>
    <w:p>
      <w:pPr>
        <w:ind w:left="420" w:hanging="412"/>
        <w:spacing w:after="0" w:line="238" w:lineRule="auto"/>
        <w:tabs>
          <w:tab w:leader="none" w:pos="28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common stock trades on The Nasdaq Global Select Market</w:t>
      </w:r>
      <w:r>
        <w:rPr>
          <w:rFonts w:ascii="Arial" w:cs="Arial" w:eastAsia="Arial" w:hAnsi="Arial"/>
          <w:sz w:val="21"/>
          <w:szCs w:val="21"/>
          <w:color w:val="auto"/>
          <w:vertAlign w:val="superscript"/>
        </w:rPr>
        <w:t>®</w:t>
      </w:r>
      <w:r>
        <w:rPr>
          <w:rFonts w:ascii="Arial" w:cs="Arial" w:eastAsia="Arial" w:hAnsi="Arial"/>
          <w:sz w:val="18"/>
          <w:szCs w:val="18"/>
          <w:color w:val="auto"/>
        </w:rPr>
        <w:t>. As of February 1, 2018, there were 3,118 record-holders of the Company’s common stock. Ranges of high and low sale prices of the Company’s common stock reported through The Nasdaq Global Select Market for the past two fiscal years appear in the following table.</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460" w:type="dxa"/>
            <w:vAlign w:val="bottom"/>
            <w:gridSpan w:val="4"/>
          </w:tcPr>
          <w:p>
            <w:pPr>
              <w:ind w:left="660"/>
              <w:spacing w:after="0"/>
              <w:rPr>
                <w:sz w:val="20"/>
                <w:szCs w:val="20"/>
                <w:color w:val="auto"/>
              </w:rPr>
            </w:pPr>
            <w:r>
              <w:rPr>
                <w:rFonts w:ascii="Arial" w:cs="Arial" w:eastAsia="Arial" w:hAnsi="Arial"/>
                <w:sz w:val="14"/>
                <w:szCs w:val="14"/>
                <w:b w:val="1"/>
                <w:bCs w:val="1"/>
                <w:color w:val="auto"/>
              </w:rPr>
              <w:t>Common Stock Price Range</w:t>
            </w: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rPr>
              <w:t>Dividends Declared Per Share</w:t>
            </w:r>
          </w:p>
        </w:tc>
      </w:tr>
      <w:tr>
        <w:trPr>
          <w:trHeight w:val="229"/>
        </w:trPr>
        <w:tc>
          <w:tcPr>
            <w:tcW w:w="20" w:type="dxa"/>
            <w:vAlign w:val="bottom"/>
          </w:tcPr>
          <w:p>
            <w:pPr>
              <w:spacing w:after="0"/>
              <w:rPr>
                <w:sz w:val="19"/>
                <w:szCs w:val="19"/>
                <w:color w:val="auto"/>
              </w:rPr>
            </w:pPr>
          </w:p>
        </w:tc>
        <w:tc>
          <w:tcPr>
            <w:tcW w:w="4840" w:type="dxa"/>
            <w:vAlign w:val="bottom"/>
            <w:gridSpan w:val="2"/>
          </w:tcPr>
          <w:p>
            <w:pPr>
              <w:jc w:val="right"/>
              <w:ind w:right="4230"/>
              <w:spacing w:after="0"/>
              <w:rPr>
                <w:sz w:val="20"/>
                <w:szCs w:val="20"/>
                <w:color w:val="auto"/>
              </w:rPr>
            </w:pPr>
            <w:r>
              <w:rPr>
                <w:rFonts w:ascii="Arial" w:cs="Arial" w:eastAsia="Arial" w:hAnsi="Arial"/>
                <w:sz w:val="14"/>
                <w:szCs w:val="14"/>
                <w:b w:val="1"/>
                <w:bCs w:val="1"/>
                <w:color w:val="auto"/>
                <w:w w:val="98"/>
              </w:rPr>
              <w:t>Quarter</w:t>
            </w:r>
          </w:p>
        </w:tc>
        <w:tc>
          <w:tcPr>
            <w:tcW w:w="158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First Quarter</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$19.76 - 22.12</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$12.93 - 15.90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0.085</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320" w:type="dxa"/>
            <w:vAlign w:val="bottom"/>
          </w:tcPr>
          <w:p>
            <w:pPr>
              <w:jc w:val="right"/>
              <w:spacing w:after="0"/>
              <w:rPr>
                <w:sz w:val="20"/>
                <w:szCs w:val="20"/>
                <w:color w:val="auto"/>
              </w:rPr>
            </w:pPr>
            <w:r>
              <w:rPr>
                <w:rFonts w:ascii="Arial" w:cs="Arial" w:eastAsia="Arial" w:hAnsi="Arial"/>
                <w:sz w:val="18"/>
                <w:szCs w:val="18"/>
                <w:color w:val="auto"/>
              </w:rPr>
              <w:t>Second Quarter</w:t>
            </w:r>
          </w:p>
        </w:tc>
        <w:tc>
          <w:tcPr>
            <w:tcW w:w="1580" w:type="dxa"/>
            <w:vAlign w:val="bottom"/>
          </w:tcPr>
          <w:p>
            <w:pPr>
              <w:jc w:val="right"/>
              <w:spacing w:after="0"/>
              <w:rPr>
                <w:sz w:val="20"/>
                <w:szCs w:val="20"/>
                <w:color w:val="auto"/>
              </w:rPr>
            </w:pPr>
            <w:r>
              <w:rPr>
                <w:rFonts w:ascii="Arial" w:cs="Arial" w:eastAsia="Arial" w:hAnsi="Arial"/>
                <w:sz w:val="18"/>
                <w:szCs w:val="18"/>
                <w:color w:val="auto"/>
              </w:rPr>
              <w:t>$18.06 - 21.49</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$14.69 - 16.60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0.100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0.090</w:t>
            </w:r>
          </w:p>
        </w:tc>
      </w:tr>
      <w:tr>
        <w:trPr>
          <w:trHeight w:val="277"/>
        </w:trPr>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Third Quarter</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$16.59 - 19.98</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$14.66 - 18.30</w:t>
            </w: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w:t>
            </w:r>
          </w:p>
        </w:tc>
      </w:tr>
      <w:tr>
        <w:trPr>
          <w:trHeight w:val="264"/>
        </w:trPr>
        <w:tc>
          <w:tcPr>
            <w:tcW w:w="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4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Fourth Quarter</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$18.51 - 21.16</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$16.06 - 20.39</w:t>
            </w:r>
          </w:p>
        </w:tc>
        <w:tc>
          <w:tcPr>
            <w:tcW w:w="2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0.100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0.090</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Year</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$16.59 - 22.12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$12.93 - 20.39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Item 12 of Part III with respect to “Equity Compensation Plan Summary,” which is incorporated herein.</w:t>
      </w:r>
    </w:p>
    <w:p>
      <w:pPr>
        <w:spacing w:after="0" w:line="144" w:lineRule="exact"/>
        <w:rPr>
          <w:sz w:val="20"/>
          <w:szCs w:val="20"/>
          <w:color w:val="auto"/>
        </w:rPr>
      </w:pPr>
    </w:p>
    <w:p>
      <w:pPr>
        <w:jc w:val="both"/>
        <w:ind w:left="420"/>
        <w:spacing w:after="0" w:line="256" w:lineRule="auto"/>
        <w:rPr>
          <w:sz w:val="20"/>
          <w:szCs w:val="20"/>
          <w:color w:val="auto"/>
        </w:rPr>
      </w:pPr>
      <w:r>
        <w:rPr>
          <w:rFonts w:ascii="Arial" w:cs="Arial" w:eastAsia="Arial" w:hAnsi="Arial"/>
          <w:sz w:val="18"/>
          <w:szCs w:val="18"/>
          <w:color w:val="auto"/>
        </w:rPr>
        <w:t>Stock Performance Graph: The following graph depicts the cumulative total return on the Company’s common stock compared to the cumulative total return on the Nasdaq Composite Index (all U.S. companies) and the Dow Jones U.S. Auto Parts Index (excluding tire and rubber makers). The graph assumes an investment of $100 on the last trading day of 2012,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-7620</wp:posOffset>
            </wp:positionV>
            <wp:extent cx="5257165" cy="4116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76" w:right="239" w:bottom="1440" w:gutter="0" w:footer="0" w:header="0"/>
        </w:sectPr>
      </w:pPr>
    </w:p>
    <w:bookmarkStart w:id="16" w:name="page17"/>
    <w:bookmarkEnd w:id="16"/>
    <w:p>
      <w:pPr>
        <w:jc w:val="both"/>
        <w:ind w:left="420"/>
        <w:spacing w:after="0" w:line="251" w:lineRule="auto"/>
        <w:rPr>
          <w:sz w:val="20"/>
          <w:szCs w:val="20"/>
          <w:color w:val="auto"/>
        </w:rPr>
      </w:pPr>
      <w:r>
        <w:rPr>
          <w:rFonts w:ascii="Arial" w:cs="Arial" w:eastAsia="Arial" w:hAnsi="Arial"/>
          <w:sz w:val="18"/>
          <w:szCs w:val="18"/>
          <w:color w:val="auto"/>
        </w:rPr>
        <w:t>In August 2008, the Company’s Board of Directors approved a continuing resolution to pay a quarterly dividend at an increased rate of $0.055 per share until the Board takes other action with respect to the payment of dividends. In February 2011, the Company’s Board of Directors approved a continuing resolution to pay a quarterly dividend at an increased rate of $0.06 per share until the Board takes other action with respect to the payment of dividends. In February 2012, the Company’s Board of Directors approved a continuing resolution to pay a quarterly dividend at an increased rate of $0.065 per share until the Board takes other action with respect to the payment of dividends. In February 2013, the Company's Board of Directors approved a continuing resolution to pay a quarterly dividend at an increased rate of $ 0.07 per share until the Board takes other action with respect to the payment of dividends. In May 2014, the Company's Board of Directors approved a continuing resolution to pay a quarterly dividend at an increased rate of $0.08 per share until the Board takes other action with respect to the payment of dividends. In May 2015, the Company's Board of Directors approved a continuing resolution to pay a quarterly dividend at an increased rate of $0.085 per share until the Board takes other action with respect to the payment of dividends. In May 2016, the Company's Board of Directors approved a continuing resolution to pay a quarterly dividend at an increased rate of $ 0.09 per share until the Board takes other action with respect to the payment of dividends. In May 2017, the Company's Board of Directors approved a continuing resolution to pay a quarterly dividend at an increased rate of $0.10 per share until the Board takes other action with respect to the payment of dividends. The Company intends to continue to pay a quarterly cash dividend and will consider future dividend rate adjustments based on the Company’s financial condition, profitability, cash flow, liquidity and other relevant business factors. (All per share amounts have been adjusted to reflect the two-for-one stock split effected in the form of a 100% stock dividend issued December 31, 2014).</w:t>
      </w:r>
    </w:p>
    <w:p>
      <w:pPr>
        <w:spacing w:after="0" w:line="155" w:lineRule="exact"/>
        <w:rPr>
          <w:sz w:val="20"/>
          <w:szCs w:val="20"/>
          <w:color w:val="auto"/>
        </w:rPr>
      </w:pPr>
    </w:p>
    <w:p>
      <w:pPr>
        <w:ind w:left="360" w:hanging="271"/>
        <w:spacing w:after="0"/>
        <w:tabs>
          <w:tab w:leader="none" w:pos="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jc w:val="both"/>
        <w:ind w:left="420" w:hanging="412"/>
        <w:spacing w:after="0" w:line="251"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October 8, 2002, the Company announced a share repurchase plan, under which it had the authority to repurchase up to 16,000,000 shares (post-split) based on a number of factors. On July 20, 2005, the Company announced that it had raised the price at which the Company may repurchase shares under the existing plan. On May 16, 2006, the Company announced that the Company's Board of Directors had authorized the repurchase of an additional 16,000,000 shares (post-split) under the plan. On August 14, 2006, the Company announced that the Company's Board of Directors had authorized the repurchase of an additional 16,000,000 shares (post-split) under the plan. On February 26, 2008, the Company announced that the Company's Board of Directors had authorized the repurchase of an additional 8,000,000 shares (post-split) under the plan. On October 23, 2012, the Company announced that the Company's Board of Directors had authorized the repurchase of an additional 8,000,000 shares (post-split) under the plan. On October 21, 2015, the Company announced that the Company's Board of Directors had authorized the repurchase of an additional 5,000,000 shares (post-split) under the plan. On February 18, 2016, the Company's Board of Directors authorized the repurchase of an additional 5,000,000 shares (post-split) under the plan. On October 20, 2016, the Company announced that the Company's Board of Directors had authorized the repurchase of an additional 7,500,000 shares (post - split) under the plan. On August 23, 2017, the Company announced that the Company's Board of Directors had authorized the repurchase of an additional 15,000,000 shares (post - split) under the plan. Additionally, on January 16, 2018, the Company repurchased and subsequently retired approximately 5.5 million shares of common stock from the former CEO pursuant to his retirement agreement, which was effective December 31, 2017, as previously announced. These share repurchases were approved by the Company's Board of Directors and were not repurchased as part of the Company’s existing share repurchase plan. The Company may purchase authorized shares of its common stock under the plan based on a number of factors, including: market, economic, and industry conditions; the market price of the Company's common stock; anti-dilutive effect on earnings; available cash; and other factors that the Company deems appropriate. The plan does not have an expiration date, but the Board of Directors reviews such plan periodically.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is a summary of share repurchase activity during 2017: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Maximum Number of Shares</w:t>
            </w:r>
          </w:p>
        </w:tc>
      </w:tr>
      <w:tr>
        <w:trPr>
          <w:trHeight w:val="162"/>
        </w:trPr>
        <w:tc>
          <w:tcPr>
            <w:tcW w:w="2620" w:type="dxa"/>
            <w:vAlign w:val="bottom"/>
          </w:tcPr>
          <w:p>
            <w:pPr>
              <w:spacing w:after="0"/>
              <w:rPr>
                <w:sz w:val="14"/>
                <w:szCs w:val="14"/>
                <w:color w:val="auto"/>
              </w:rPr>
            </w:pPr>
          </w:p>
        </w:tc>
        <w:tc>
          <w:tcPr>
            <w:tcW w:w="228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4"/>
                <w:szCs w:val="14"/>
                <w:color w:val="auto"/>
              </w:rPr>
            </w:pPr>
          </w:p>
        </w:tc>
        <w:tc>
          <w:tcPr>
            <w:tcW w:w="1780" w:type="dxa"/>
            <w:vAlign w:val="bottom"/>
          </w:tcPr>
          <w:p>
            <w:pPr>
              <w:jc w:val="right"/>
              <w:ind w:right="93"/>
              <w:spacing w:after="0"/>
              <w:rPr>
                <w:sz w:val="20"/>
                <w:szCs w:val="20"/>
                <w:color w:val="auto"/>
              </w:rPr>
            </w:pPr>
            <w:r>
              <w:rPr>
                <w:rFonts w:ascii="Arial" w:cs="Arial" w:eastAsia="Arial" w:hAnsi="Arial"/>
                <w:sz w:val="14"/>
                <w:szCs w:val="14"/>
                <w:b w:val="1"/>
                <w:bCs w:val="1"/>
                <w:color w:val="auto"/>
              </w:rPr>
              <w:t>Average Price Paid Per</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 a Publicly</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That May Yet Be Purchased</w:t>
            </w:r>
          </w:p>
        </w:tc>
      </w:tr>
      <w:tr>
        <w:trPr>
          <w:trHeight w:val="196"/>
        </w:trPr>
        <w:tc>
          <w:tcPr>
            <w:tcW w:w="26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Period</w:t>
            </w:r>
          </w:p>
        </w:tc>
        <w:tc>
          <w:tcPr>
            <w:tcW w:w="22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Purchased</w:t>
            </w: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Share</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Announced Plan*</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Under the Plan*</w:t>
            </w:r>
          </w:p>
        </w:tc>
      </w:tr>
      <w:tr>
        <w:trPr>
          <w:trHeight w:val="249"/>
        </w:trPr>
        <w:tc>
          <w:tcPr>
            <w:tcW w:w="2620" w:type="dxa"/>
            <w:vAlign w:val="bottom"/>
          </w:tcPr>
          <w:p>
            <w:pPr>
              <w:ind w:left="20"/>
              <w:spacing w:after="0"/>
              <w:rPr>
                <w:sz w:val="20"/>
                <w:szCs w:val="20"/>
                <w:color w:val="auto"/>
              </w:rPr>
            </w:pPr>
            <w:r>
              <w:rPr>
                <w:rFonts w:ascii="Arial" w:cs="Arial" w:eastAsia="Arial" w:hAnsi="Arial"/>
                <w:sz w:val="18"/>
                <w:szCs w:val="18"/>
                <w:color w:val="auto"/>
              </w:rPr>
              <w:t>January 2017</w:t>
            </w:r>
          </w:p>
        </w:tc>
        <w:tc>
          <w:tcPr>
            <w:tcW w:w="2280" w:type="dxa"/>
            <w:vAlign w:val="bottom"/>
          </w:tcPr>
          <w:p>
            <w:pPr>
              <w:jc w:val="right"/>
              <w:ind w:right="32"/>
              <w:spacing w:after="0"/>
              <w:rPr>
                <w:sz w:val="20"/>
                <w:szCs w:val="20"/>
                <w:color w:val="auto"/>
              </w:rPr>
            </w:pPr>
            <w:r>
              <w:rPr>
                <w:rFonts w:ascii="Arial" w:cs="Arial" w:eastAsia="Arial" w:hAnsi="Arial"/>
                <w:sz w:val="18"/>
                <w:szCs w:val="18"/>
                <w:color w:val="auto"/>
              </w:rPr>
              <w:t>662,681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21.14</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662,681</w:t>
            </w: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6,083,139</w:t>
            </w:r>
          </w:p>
        </w:tc>
      </w:tr>
      <w:tr>
        <w:trPr>
          <w:trHeight w:val="26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2017</w:t>
            </w:r>
          </w:p>
        </w:tc>
        <w:tc>
          <w:tcPr>
            <w:tcW w:w="2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410,224</w:t>
            </w:r>
          </w:p>
        </w:tc>
        <w:tc>
          <w:tcPr>
            <w:tcW w:w="1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20.43</w:t>
            </w:r>
          </w:p>
        </w:tc>
        <w:tc>
          <w:tcPr>
            <w:tcW w:w="2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410,224</w:t>
            </w:r>
          </w:p>
        </w:tc>
        <w:tc>
          <w:tcPr>
            <w:tcW w:w="2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5,672,915</w:t>
            </w:r>
          </w:p>
        </w:tc>
      </w:tr>
      <w:tr>
        <w:trPr>
          <w:trHeight w:val="250"/>
        </w:trPr>
        <w:tc>
          <w:tcPr>
            <w:tcW w:w="2620" w:type="dxa"/>
            <w:vAlign w:val="bottom"/>
          </w:tcPr>
          <w:p>
            <w:pPr>
              <w:ind w:left="20"/>
              <w:spacing w:after="0"/>
              <w:rPr>
                <w:sz w:val="20"/>
                <w:szCs w:val="20"/>
                <w:color w:val="auto"/>
              </w:rPr>
            </w:pPr>
            <w:r>
              <w:rPr>
                <w:rFonts w:ascii="Arial" w:cs="Arial" w:eastAsia="Arial" w:hAnsi="Arial"/>
                <w:sz w:val="18"/>
                <w:szCs w:val="18"/>
                <w:color w:val="auto"/>
              </w:rPr>
              <w:t>March 2017</w:t>
            </w:r>
          </w:p>
        </w:tc>
        <w:tc>
          <w:tcPr>
            <w:tcW w:w="2280" w:type="dxa"/>
            <w:vAlign w:val="bottom"/>
          </w:tcPr>
          <w:p>
            <w:pPr>
              <w:jc w:val="right"/>
              <w:ind w:right="32"/>
              <w:spacing w:after="0"/>
              <w:rPr>
                <w:sz w:val="20"/>
                <w:szCs w:val="20"/>
                <w:color w:val="auto"/>
              </w:rPr>
            </w:pPr>
            <w:r>
              <w:rPr>
                <w:rFonts w:ascii="Arial" w:cs="Arial" w:eastAsia="Arial" w:hAnsi="Arial"/>
                <w:sz w:val="18"/>
                <w:szCs w:val="18"/>
                <w:color w:val="auto"/>
              </w:rPr>
              <w:t>400,498</w:t>
            </w: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21.47</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400,498</w:t>
            </w: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5,272,417</w:t>
            </w:r>
          </w:p>
        </w:tc>
      </w:tr>
      <w:tr>
        <w:trPr>
          <w:trHeight w:val="26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2017</w:t>
            </w:r>
          </w:p>
        </w:tc>
        <w:tc>
          <w:tcPr>
            <w:tcW w:w="2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565,525</w:t>
            </w:r>
          </w:p>
        </w:tc>
        <w:tc>
          <w:tcPr>
            <w:tcW w:w="1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20.17</w:t>
            </w:r>
          </w:p>
        </w:tc>
        <w:tc>
          <w:tcPr>
            <w:tcW w:w="2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565,525</w:t>
            </w:r>
          </w:p>
        </w:tc>
        <w:tc>
          <w:tcPr>
            <w:tcW w:w="2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4,706,892</w:t>
            </w:r>
          </w:p>
        </w:tc>
      </w:tr>
      <w:tr>
        <w:trPr>
          <w:trHeight w:val="250"/>
        </w:trPr>
        <w:tc>
          <w:tcPr>
            <w:tcW w:w="2620" w:type="dxa"/>
            <w:vAlign w:val="bottom"/>
          </w:tcPr>
          <w:p>
            <w:pPr>
              <w:ind w:left="20"/>
              <w:spacing w:after="0"/>
              <w:rPr>
                <w:sz w:val="20"/>
                <w:szCs w:val="20"/>
                <w:color w:val="auto"/>
              </w:rPr>
            </w:pPr>
            <w:r>
              <w:rPr>
                <w:rFonts w:ascii="Arial" w:cs="Arial" w:eastAsia="Arial" w:hAnsi="Arial"/>
                <w:sz w:val="18"/>
                <w:szCs w:val="18"/>
                <w:color w:val="auto"/>
              </w:rPr>
              <w:t>May 2017</w:t>
            </w:r>
          </w:p>
        </w:tc>
        <w:tc>
          <w:tcPr>
            <w:tcW w:w="2280" w:type="dxa"/>
            <w:vAlign w:val="bottom"/>
          </w:tcPr>
          <w:p>
            <w:pPr>
              <w:jc w:val="right"/>
              <w:ind w:right="32"/>
              <w:spacing w:after="0"/>
              <w:rPr>
                <w:sz w:val="20"/>
                <w:szCs w:val="20"/>
                <w:color w:val="auto"/>
              </w:rPr>
            </w:pPr>
            <w:r>
              <w:rPr>
                <w:rFonts w:ascii="Arial" w:cs="Arial" w:eastAsia="Arial" w:hAnsi="Arial"/>
                <w:sz w:val="18"/>
                <w:szCs w:val="18"/>
                <w:color w:val="auto"/>
              </w:rPr>
              <w:t>1,141,197</w:t>
            </w: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19.60</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1,141,197</w:t>
            </w: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3,565,695</w:t>
            </w:r>
          </w:p>
        </w:tc>
      </w:tr>
      <w:tr>
        <w:trPr>
          <w:trHeight w:val="26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2017</w:t>
            </w:r>
          </w:p>
        </w:tc>
        <w:tc>
          <w:tcPr>
            <w:tcW w:w="2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475,153</w:t>
            </w:r>
          </w:p>
        </w:tc>
        <w:tc>
          <w:tcPr>
            <w:tcW w:w="1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18.50</w:t>
            </w:r>
          </w:p>
        </w:tc>
        <w:tc>
          <w:tcPr>
            <w:tcW w:w="2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475,153</w:t>
            </w:r>
          </w:p>
        </w:tc>
        <w:tc>
          <w:tcPr>
            <w:tcW w:w="2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3,090,542</w:t>
            </w:r>
          </w:p>
        </w:tc>
      </w:tr>
      <w:tr>
        <w:trPr>
          <w:trHeight w:val="250"/>
        </w:trPr>
        <w:tc>
          <w:tcPr>
            <w:tcW w:w="2620" w:type="dxa"/>
            <w:vAlign w:val="bottom"/>
          </w:tcPr>
          <w:p>
            <w:pPr>
              <w:ind w:left="20"/>
              <w:spacing w:after="0"/>
              <w:rPr>
                <w:sz w:val="20"/>
                <w:szCs w:val="20"/>
                <w:color w:val="auto"/>
              </w:rPr>
            </w:pPr>
            <w:r>
              <w:rPr>
                <w:rFonts w:ascii="Arial" w:cs="Arial" w:eastAsia="Arial" w:hAnsi="Arial"/>
                <w:sz w:val="18"/>
                <w:szCs w:val="18"/>
                <w:color w:val="auto"/>
              </w:rPr>
              <w:t>July 2017</w:t>
            </w:r>
          </w:p>
        </w:tc>
        <w:tc>
          <w:tcPr>
            <w:tcW w:w="2280" w:type="dxa"/>
            <w:vAlign w:val="bottom"/>
          </w:tcPr>
          <w:p>
            <w:pPr>
              <w:jc w:val="right"/>
              <w:ind w:right="32"/>
              <w:spacing w:after="0"/>
              <w:rPr>
                <w:sz w:val="20"/>
                <w:szCs w:val="20"/>
                <w:color w:val="auto"/>
              </w:rPr>
            </w:pPr>
            <w:r>
              <w:rPr>
                <w:rFonts w:ascii="Arial" w:cs="Arial" w:eastAsia="Arial" w:hAnsi="Arial"/>
                <w:sz w:val="18"/>
                <w:szCs w:val="18"/>
                <w:color w:val="auto"/>
              </w:rPr>
              <w:t>1,234,386</w:t>
            </w: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17.36</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1,234,386</w:t>
            </w: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1,856,156</w:t>
            </w:r>
          </w:p>
        </w:tc>
      </w:tr>
      <w:tr>
        <w:trPr>
          <w:trHeight w:val="26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2017</w:t>
            </w:r>
          </w:p>
        </w:tc>
        <w:tc>
          <w:tcPr>
            <w:tcW w:w="2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1,603,749</w:t>
            </w:r>
          </w:p>
        </w:tc>
        <w:tc>
          <w:tcPr>
            <w:tcW w:w="1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17.45</w:t>
            </w:r>
          </w:p>
        </w:tc>
        <w:tc>
          <w:tcPr>
            <w:tcW w:w="2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1,603,749</w:t>
            </w:r>
          </w:p>
        </w:tc>
        <w:tc>
          <w:tcPr>
            <w:tcW w:w="2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15,252,407</w:t>
            </w:r>
          </w:p>
        </w:tc>
      </w:tr>
      <w:tr>
        <w:trPr>
          <w:trHeight w:val="250"/>
        </w:trPr>
        <w:tc>
          <w:tcPr>
            <w:tcW w:w="2620" w:type="dxa"/>
            <w:vAlign w:val="bottom"/>
          </w:tcPr>
          <w:p>
            <w:pPr>
              <w:ind w:left="20"/>
              <w:spacing w:after="0"/>
              <w:rPr>
                <w:sz w:val="20"/>
                <w:szCs w:val="20"/>
                <w:color w:val="auto"/>
              </w:rPr>
            </w:pPr>
            <w:r>
              <w:rPr>
                <w:rFonts w:ascii="Arial" w:cs="Arial" w:eastAsia="Arial" w:hAnsi="Arial"/>
                <w:sz w:val="18"/>
                <w:szCs w:val="18"/>
                <w:color w:val="auto"/>
              </w:rPr>
              <w:t>September 2017</w:t>
            </w:r>
          </w:p>
        </w:tc>
        <w:tc>
          <w:tcPr>
            <w:tcW w:w="2280" w:type="dxa"/>
            <w:vAlign w:val="bottom"/>
          </w:tcPr>
          <w:p>
            <w:pPr>
              <w:jc w:val="right"/>
              <w:ind w:right="32"/>
              <w:spacing w:after="0"/>
              <w:rPr>
                <w:sz w:val="20"/>
                <w:szCs w:val="20"/>
                <w:color w:val="auto"/>
              </w:rPr>
            </w:pPr>
            <w:r>
              <w:rPr>
                <w:rFonts w:ascii="Arial" w:cs="Arial" w:eastAsia="Arial" w:hAnsi="Arial"/>
                <w:sz w:val="18"/>
                <w:szCs w:val="18"/>
                <w:color w:val="auto"/>
              </w:rPr>
              <w:t>375,011</w:t>
            </w: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18.24</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375,011</w:t>
            </w: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14,877,396</w:t>
            </w:r>
          </w:p>
        </w:tc>
      </w:tr>
      <w:tr>
        <w:trPr>
          <w:trHeight w:val="26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2017</w:t>
            </w:r>
          </w:p>
        </w:tc>
        <w:tc>
          <w:tcPr>
            <w:tcW w:w="2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575,105</w:t>
            </w:r>
          </w:p>
        </w:tc>
        <w:tc>
          <w:tcPr>
            <w:tcW w:w="1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19.15</w:t>
            </w:r>
          </w:p>
        </w:tc>
        <w:tc>
          <w:tcPr>
            <w:tcW w:w="2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575,105</w:t>
            </w:r>
          </w:p>
        </w:tc>
        <w:tc>
          <w:tcPr>
            <w:tcW w:w="2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14,302,291</w:t>
            </w:r>
          </w:p>
        </w:tc>
      </w:tr>
      <w:tr>
        <w:trPr>
          <w:trHeight w:val="250"/>
        </w:trPr>
        <w:tc>
          <w:tcPr>
            <w:tcW w:w="2620" w:type="dxa"/>
            <w:vAlign w:val="bottom"/>
          </w:tcPr>
          <w:p>
            <w:pPr>
              <w:ind w:left="20"/>
              <w:spacing w:after="0"/>
              <w:rPr>
                <w:sz w:val="20"/>
                <w:szCs w:val="20"/>
                <w:color w:val="auto"/>
              </w:rPr>
            </w:pPr>
            <w:r>
              <w:rPr>
                <w:rFonts w:ascii="Arial" w:cs="Arial" w:eastAsia="Arial" w:hAnsi="Arial"/>
                <w:sz w:val="18"/>
                <w:szCs w:val="18"/>
                <w:color w:val="auto"/>
              </w:rPr>
              <w:t>November 2017</w:t>
            </w:r>
          </w:p>
        </w:tc>
        <w:tc>
          <w:tcPr>
            <w:tcW w:w="2280" w:type="dxa"/>
            <w:vAlign w:val="bottom"/>
          </w:tcPr>
          <w:p>
            <w:pPr>
              <w:jc w:val="right"/>
              <w:ind w:right="32"/>
              <w:spacing w:after="0"/>
              <w:rPr>
                <w:sz w:val="20"/>
                <w:szCs w:val="20"/>
                <w:color w:val="auto"/>
              </w:rPr>
            </w:pPr>
            <w:r>
              <w:rPr>
                <w:rFonts w:ascii="Arial" w:cs="Arial" w:eastAsia="Arial" w:hAnsi="Arial"/>
                <w:sz w:val="18"/>
                <w:szCs w:val="18"/>
                <w:color w:val="auto"/>
              </w:rPr>
              <w:t>2,061,005</w:t>
            </w: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19.25</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2,061,005</w:t>
            </w: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12,241,286</w:t>
            </w:r>
          </w:p>
        </w:tc>
      </w:tr>
      <w:tr>
        <w:trPr>
          <w:trHeight w:val="257"/>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2017</w:t>
            </w:r>
          </w:p>
        </w:tc>
        <w:tc>
          <w:tcPr>
            <w:tcW w:w="2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2,450,390</w:t>
            </w:r>
          </w:p>
        </w:tc>
        <w:tc>
          <w:tcPr>
            <w:tcW w:w="1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20.75</w:t>
            </w:r>
          </w:p>
        </w:tc>
        <w:tc>
          <w:tcPr>
            <w:tcW w:w="2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2,450,390</w:t>
            </w:r>
          </w:p>
        </w:tc>
        <w:tc>
          <w:tcPr>
            <w:tcW w:w="2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9,790,896</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Total</w:t>
            </w:r>
          </w:p>
        </w:tc>
        <w:tc>
          <w:tcPr>
            <w:tcW w:w="2280" w:type="dxa"/>
            <w:vAlign w:val="bottom"/>
          </w:tcPr>
          <w:p>
            <w:pPr>
              <w:jc w:val="right"/>
              <w:ind w:right="32"/>
              <w:spacing w:after="0"/>
              <w:rPr>
                <w:sz w:val="20"/>
                <w:szCs w:val="20"/>
                <w:color w:val="auto"/>
              </w:rPr>
            </w:pPr>
            <w:r>
              <w:rPr>
                <w:rFonts w:ascii="Arial" w:cs="Arial" w:eastAsia="Arial" w:hAnsi="Arial"/>
                <w:sz w:val="18"/>
                <w:szCs w:val="18"/>
                <w:color w:val="auto"/>
              </w:rPr>
              <w:t>11,954,924</w:t>
            </w: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11,954,924</w:t>
            </w:r>
          </w:p>
        </w:tc>
        <w:tc>
          <w:tcPr>
            <w:tcW w:w="2260" w:type="dxa"/>
            <w:vAlign w:val="bottom"/>
          </w:tcPr>
          <w:p>
            <w:pPr>
              <w:spacing w:after="0"/>
              <w:rPr>
                <w:sz w:val="21"/>
                <w:szCs w:val="21"/>
                <w:color w:val="auto"/>
              </w:rPr>
            </w:pPr>
          </w:p>
        </w:tc>
      </w:tr>
    </w:tbl>
    <w:p>
      <w:pPr>
        <w:spacing w:after="0" w:line="229" w:lineRule="exact"/>
        <w:rPr>
          <w:sz w:val="20"/>
          <w:szCs w:val="20"/>
          <w:color w:val="auto"/>
        </w:rPr>
      </w:pPr>
    </w:p>
    <w:p>
      <w:pPr>
        <w:ind w:right="3140" w:firstLine="2"/>
        <w:spacing w:after="0" w:line="262" w:lineRule="auto"/>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above paragraph for data on which plan was announced, the total number of shares approved for repurchase under the plan, and the expiration date (if any) of the plan.</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Additionally, as previously announced, on January 16, 2018, the Company repurchased approximately 5.5 million shares of common stock from the former CEO pursuant to his retirement agreement, which was effective December 31, 2017. These share repurchases were approved by the Company's Board of Directors and were not repurchased as part of the Company’s existing share repurchase plan.</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2017, the Company has repurchased 86,709,104 shares at a total cost of $950,584,323 under the plan. The following is a summary of quarterly share repurchase activity under the plan to date (adjusted for two-for-one stock splits each effected in the form of a 100% stock dividend issued effective May 6, 2005 and December 31, 2014, respectively):</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300" w:top="598" w:right="239" w:bottom="1440" w:gutter="0" w:footer="0" w:header="0"/>
        </w:sectPr>
      </w:pPr>
    </w:p>
    <w:bookmarkStart w:id="18" w:name="page19"/>
    <w:bookmarkEnd w:id="18"/>
    <w:p>
      <w:pPr>
        <w:spacing w:after="0" w:line="324"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Quarter Ended</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31, 2003</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September 30, 2005</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31, 2006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June 30, 2006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September 30, 2006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December 31, 2006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31, 2007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31, 2008</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June 30, 2008</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September 30, 2008</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December 31, 2008</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September 30, 2012</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September 30, 2014</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December 31, 2014</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31, 2015</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June 30, 2015</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September 30, 2015</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December 31, 2015</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31, 2016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June 30, 2016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September 30, 2016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December 31, 2016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31, 2017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June 30, 2017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September 30, 2017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December 31, 2017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2"/>
        </w:trPr>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4"/>
                <w:szCs w:val="14"/>
                <w:color w:val="auto"/>
              </w:rPr>
            </w:pPr>
          </w:p>
        </w:tc>
        <w:tc>
          <w:tcPr>
            <w:tcW w:w="1680" w:type="dxa"/>
            <w:vAlign w:val="bottom"/>
          </w:tcPr>
          <w:p>
            <w:pPr>
              <w:jc w:val="right"/>
              <w:ind w:right="391"/>
              <w:spacing w:after="0"/>
              <w:rPr>
                <w:sz w:val="20"/>
                <w:szCs w:val="20"/>
                <w:color w:val="auto"/>
              </w:rPr>
            </w:pPr>
            <w:r>
              <w:rPr>
                <w:rFonts w:ascii="Arial" w:cs="Arial" w:eastAsia="Arial" w:hAnsi="Arial"/>
                <w:sz w:val="14"/>
                <w:szCs w:val="14"/>
                <w:b w:val="1"/>
                <w:bCs w:val="1"/>
                <w:color w:val="auto"/>
              </w:rPr>
              <w:t>Cost of Shares</w:t>
            </w:r>
          </w:p>
        </w:tc>
      </w:tr>
      <w:tr>
        <w:trPr>
          <w:trHeight w:val="196"/>
        </w:trPr>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(Post-Split)</w:t>
            </w:r>
          </w:p>
        </w:tc>
        <w:tc>
          <w:tcPr>
            <w:tcW w:w="300" w:type="dxa"/>
            <w:vAlign w:val="bottom"/>
          </w:tcPr>
          <w:p>
            <w:pPr>
              <w:spacing w:after="0"/>
              <w:rPr>
                <w:sz w:val="17"/>
                <w:szCs w:val="17"/>
                <w:color w:val="auto"/>
              </w:rPr>
            </w:pPr>
          </w:p>
        </w:tc>
        <w:tc>
          <w:tcPr>
            <w:tcW w:w="1680" w:type="dxa"/>
            <w:vAlign w:val="bottom"/>
          </w:tcPr>
          <w:p>
            <w:pPr>
              <w:jc w:val="right"/>
              <w:ind w:right="531"/>
              <w:spacing w:after="0"/>
              <w:rPr>
                <w:sz w:val="20"/>
                <w:szCs w:val="20"/>
                <w:color w:val="auto"/>
              </w:rPr>
            </w:pPr>
            <w:r>
              <w:rPr>
                <w:rFonts w:ascii="Arial" w:cs="Arial" w:eastAsia="Arial" w:hAnsi="Arial"/>
                <w:sz w:val="14"/>
                <w:szCs w:val="14"/>
                <w:b w:val="1"/>
                <w:bCs w:val="1"/>
                <w:color w:val="auto"/>
              </w:rPr>
              <w:t>Purchased</w:t>
            </w:r>
          </w:p>
        </w:tc>
      </w:tr>
      <w:tr>
        <w:trPr>
          <w:trHeight w:val="243"/>
        </w:trPr>
        <w:tc>
          <w:tcPr>
            <w:tcW w:w="1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1,660,000</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10,246,810</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2,992,118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25,214,573</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5,607,096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47,145,310</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14,402,162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104,604,414</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7,936,342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55,614,102</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2,465,768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19,487,427</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895,420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7,328,015</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4,401,504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34,619,490</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2,407,120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19,043,775</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5,038,306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39,689,410</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4,250,506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17,907,128</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3,943,658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33,716,725</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703,130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9,999,957</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1,094,350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20,010,925</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1,406,595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25,049,145</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1,427,469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25,058,050</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2,051,013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32,793,258</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1,765,496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28,328,372</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3,124,053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44,585,668</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3,080,993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47,689,204</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1,836,312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30,466,752</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2,264,769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40,622,598</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1,473,403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30,986,386</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2,181,875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42,570,501</w:t>
            </w:r>
          </w:p>
        </w:tc>
      </w:tr>
      <w:tr>
        <w:trPr>
          <w:trHeight w:val="270"/>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3,213,146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56,270,779</w:t>
            </w:r>
          </w:p>
        </w:tc>
      </w:tr>
      <w:tr>
        <w:trPr>
          <w:trHeight w:val="277"/>
        </w:trPr>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5,086,500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101,535,549</w:t>
            </w:r>
          </w:p>
        </w:tc>
      </w:tr>
      <w:tr>
        <w:trPr>
          <w:trHeight w:val="243"/>
        </w:trPr>
        <w:tc>
          <w:tcPr>
            <w:tcW w:w="1940" w:type="dxa"/>
            <w:vAlign w:val="bottom"/>
          </w:tcPr>
          <w:p>
            <w:pPr>
              <w:jc w:val="right"/>
              <w:ind w:right="32"/>
              <w:spacing w:after="0"/>
              <w:rPr>
                <w:sz w:val="20"/>
                <w:szCs w:val="20"/>
                <w:color w:val="auto"/>
              </w:rPr>
            </w:pPr>
            <w:r>
              <w:rPr>
                <w:rFonts w:ascii="Arial" w:cs="Arial" w:eastAsia="Arial" w:hAnsi="Arial"/>
                <w:sz w:val="18"/>
                <w:szCs w:val="18"/>
                <w:color w:val="auto"/>
              </w:rPr>
              <w:t>86,709,104</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950,584,323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-4621530</wp:posOffset>
            </wp:positionV>
            <wp:extent cx="68865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-4278630</wp:posOffset>
            </wp:positionV>
            <wp:extent cx="68865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-3935730</wp:posOffset>
            </wp:positionV>
            <wp:extent cx="68865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-3592830</wp:posOffset>
            </wp:positionV>
            <wp:extent cx="68865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-3249295</wp:posOffset>
            </wp:positionV>
            <wp:extent cx="68865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-2906395</wp:posOffset>
            </wp:positionV>
            <wp:extent cx="68865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-2563495</wp:posOffset>
            </wp:positionV>
            <wp:extent cx="68865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-2220595</wp:posOffset>
            </wp:positionV>
            <wp:extent cx="68865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-1877695</wp:posOffset>
            </wp:positionV>
            <wp:extent cx="68865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-1534160</wp:posOffset>
            </wp:positionV>
            <wp:extent cx="68865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-1191260</wp:posOffset>
            </wp:positionV>
            <wp:extent cx="68865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-848360</wp:posOffset>
            </wp:positionV>
            <wp:extent cx="68865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-505460</wp:posOffset>
            </wp:positionV>
            <wp:extent cx="68865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-162560</wp:posOffset>
            </wp:positionV>
            <wp:extent cx="68865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6575" cy="171450"/>
                    </a:xfrm>
                    <a:prstGeom prst="rect">
                      <a:avLst/>
                    </a:prstGeom>
                    <a:noFill/>
                  </pic:spPr>
                </pic:pic>
              </a:graphicData>
            </a:graphic>
          </wp:anchor>
        </w:drawing>
      </w:r>
    </w:p>
    <w:p>
      <w:pPr>
        <w:spacing w:after="0" w:line="1478" w:lineRule="exact"/>
        <w:rPr>
          <w:sz w:val="20"/>
          <w:szCs w:val="20"/>
          <w:color w:val="auto"/>
        </w:rPr>
      </w:pPr>
    </w:p>
    <w:p>
      <w:pPr>
        <w:sectPr>
          <w:pgSz w:w="11900" w:h="16838" w:orient="portrait"/>
          <w:cols w:equalWidth="0" w:num="2">
            <w:col w:w="6360" w:space="720"/>
            <w:col w:w="4340"/>
          </w:cols>
          <w:pgMar w:left="240" w:top="748" w:right="239" w:bottom="1440" w:gutter="0" w:footer="0" w:header="0"/>
        </w:sectPr>
      </w:pPr>
    </w:p>
    <w:p>
      <w:pPr>
        <w:spacing w:after="0" w:line="15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57"/>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1,794,873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$1,678,925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$1,543,618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$1,375,501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$1,171,864</w:t>
            </w:r>
          </w:p>
        </w:tc>
      </w:tr>
      <w:tr>
        <w:trPr>
          <w:trHeight w:val="263"/>
        </w:trPr>
        <w:tc>
          <w:tcPr>
            <w:tcW w:w="3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406,792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347,591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318,470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288,605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222,930</w:t>
            </w:r>
          </w:p>
        </w:tc>
      </w:tr>
      <w:tr>
        <w:trPr>
          <w:trHeight w:val="277"/>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(Fully Diluted)</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0.77</w:t>
            </w:r>
          </w:p>
        </w:tc>
      </w:tr>
      <w:tr>
        <w:trPr>
          <w:trHeight w:val="263"/>
        </w:trPr>
        <w:tc>
          <w:tcPr>
            <w:tcW w:w="3500" w:type="dxa"/>
            <w:vAlign w:val="bottom"/>
          </w:tcPr>
          <w:p>
            <w:pPr>
              <w:ind w:left="40"/>
              <w:spacing w:after="0"/>
              <w:rPr>
                <w:sz w:val="20"/>
                <w:szCs w:val="20"/>
                <w:color w:val="auto"/>
              </w:rPr>
            </w:pPr>
            <w:r>
              <w:rPr>
                <w:rFonts w:ascii="Arial" w:cs="Arial" w:eastAsia="Arial" w:hAnsi="Arial"/>
                <w:sz w:val="18"/>
                <w:szCs w:val="18"/>
                <w:color w:val="auto"/>
              </w:rPr>
              <w:t>Gross Profit Margin</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7"/>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per Common Share</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0.355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0.28</w:t>
            </w:r>
          </w:p>
        </w:tc>
      </w:tr>
      <w:tr>
        <w:trPr>
          <w:trHeight w:val="263"/>
        </w:trPr>
        <w:tc>
          <w:tcPr>
            <w:tcW w:w="35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2,352,054</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2,309,620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2,148,673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2,022,540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1,764,088</w:t>
            </w:r>
          </w:p>
        </w:tc>
      </w:tr>
      <w:tr>
        <w:trPr>
          <w:trHeight w:val="27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Outstanding at Year End</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178,125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225,625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258,125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265,625</w:t>
            </w:r>
          </w:p>
        </w:tc>
      </w:tr>
      <w:tr>
        <w:trPr>
          <w:trHeight w:val="459"/>
        </w:trPr>
        <w:tc>
          <w:tcPr>
            <w:tcW w:w="35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748" w:right="239" w:bottom="1440" w:gutter="0" w:footer="0" w:header="0"/>
          <w:type w:val="continuous"/>
        </w:sectPr>
      </w:pPr>
    </w:p>
    <w:bookmarkStart w:id="19" w:name="page20"/>
    <w:bookmarkEnd w:id="19"/>
    <w:p>
      <w:pPr>
        <w:spacing w:after="0"/>
        <w:tabs>
          <w:tab w:leader="none" w:pos="1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2900" w:type="dxa"/>
            <w:vAlign w:val="bottom"/>
            <w:tcBorders>
              <w:bottom w:val="single" w:sz="8" w:color="auto"/>
            </w:tcBorders>
            <w:gridSpan w:val="5"/>
          </w:tcPr>
          <w:p>
            <w:pPr>
              <w:jc w:val="center"/>
              <w:ind w:left="774"/>
              <w:spacing w:after="0"/>
              <w:rPr>
                <w:sz w:val="20"/>
                <w:szCs w:val="20"/>
                <w:color w:val="auto"/>
              </w:rPr>
            </w:pPr>
            <w:r>
              <w:rPr>
                <w:rFonts w:ascii="Arial" w:cs="Arial" w:eastAsia="Arial" w:hAnsi="Arial"/>
                <w:sz w:val="14"/>
                <w:szCs w:val="14"/>
                <w:b w:val="1"/>
                <w:bCs w:val="1"/>
                <w:color w:val="auto"/>
              </w:rPr>
              <w:t>Percentage of Net Sales</w:t>
            </w:r>
          </w:p>
        </w:tc>
        <w:tc>
          <w:tcPr>
            <w:tcW w:w="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56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Percentage Change</w:t>
            </w:r>
          </w:p>
        </w:tc>
      </w:tr>
      <w:tr>
        <w:trPr>
          <w:trHeight w:val="258"/>
        </w:trPr>
        <w:tc>
          <w:tcPr>
            <w:tcW w:w="4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r>
      <w:tr>
        <w:trPr>
          <w:trHeight w:val="276"/>
        </w:trPr>
        <w:tc>
          <w:tcPr>
            <w:tcW w:w="4480" w:type="dxa"/>
            <w:vAlign w:val="bottom"/>
          </w:tcPr>
          <w:p>
            <w:pPr>
              <w:spacing w:after="0"/>
              <w:rPr>
                <w:sz w:val="24"/>
                <w:szCs w:val="24"/>
                <w:color w:val="auto"/>
              </w:rPr>
            </w:pPr>
          </w:p>
        </w:tc>
        <w:tc>
          <w:tcPr>
            <w:tcW w:w="2900" w:type="dxa"/>
            <w:vAlign w:val="bottom"/>
            <w:tcBorders>
              <w:bottom w:val="single" w:sz="8" w:color="auto"/>
            </w:tcBorders>
            <w:gridSpan w:val="5"/>
          </w:tcPr>
          <w:p>
            <w:pPr>
              <w:jc w:val="center"/>
              <w:ind w:left="774"/>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ind w:left="520"/>
              <w:spacing w:after="0"/>
              <w:rPr>
                <w:sz w:val="20"/>
                <w:szCs w:val="20"/>
                <w:color w:val="auto"/>
              </w:rPr>
            </w:pPr>
            <w:r>
              <w:rPr>
                <w:rFonts w:ascii="Arial" w:cs="Arial" w:eastAsia="Arial" w:hAnsi="Arial"/>
                <w:sz w:val="14"/>
                <w:szCs w:val="14"/>
                <w:b w:val="1"/>
                <w:bCs w:val="1"/>
                <w:color w:val="auto"/>
              </w:rPr>
              <w:t>Vs</w:t>
            </w:r>
          </w:p>
        </w:tc>
        <w:tc>
          <w:tcPr>
            <w:tcW w:w="1220" w:type="dxa"/>
            <w:vAlign w:val="bottom"/>
          </w:tcPr>
          <w:p>
            <w:pPr>
              <w:jc w:val="right"/>
              <w:ind w:right="434"/>
              <w:spacing w:after="0"/>
              <w:rPr>
                <w:sz w:val="20"/>
                <w:szCs w:val="20"/>
                <w:color w:val="auto"/>
              </w:rPr>
            </w:pPr>
            <w:r>
              <w:rPr>
                <w:rFonts w:ascii="Arial" w:cs="Arial" w:eastAsia="Arial" w:hAnsi="Arial"/>
                <w:sz w:val="14"/>
                <w:szCs w:val="14"/>
                <w:b w:val="1"/>
                <w:bCs w:val="1"/>
                <w:color w:val="auto"/>
              </w:rPr>
              <w:t>Vs</w:t>
            </w:r>
          </w:p>
        </w:tc>
      </w:tr>
      <w:tr>
        <w:trPr>
          <w:trHeight w:val="264"/>
        </w:trPr>
        <w:tc>
          <w:tcPr>
            <w:tcW w:w="448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r>
      <w:tr>
        <w:trPr>
          <w:trHeight w:val="256"/>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60.9</w:t>
            </w:r>
          </w:p>
        </w:tc>
        <w:tc>
          <w:tcPr>
            <w:tcW w:w="5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7.5</w:t>
            </w:r>
          </w:p>
        </w:tc>
      </w:tr>
      <w:tr>
        <w:trPr>
          <w:trHeight w:val="257"/>
        </w:trPr>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39.1</w:t>
            </w:r>
          </w:p>
        </w:tc>
        <w:tc>
          <w:tcPr>
            <w:tcW w:w="5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10.7</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Engineering, Research and Development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6.6</w:t>
            </w:r>
          </w:p>
        </w:tc>
      </w:tr>
      <w:tr>
        <w:trPr>
          <w:trHeight w:val="263"/>
        </w:trPr>
        <w:tc>
          <w:tcPr>
            <w:tcW w:w="448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22"/>
                <w:szCs w:val="22"/>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2"/>
                <w:szCs w:val="22"/>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10.3</w:t>
            </w:r>
          </w:p>
        </w:tc>
      </w:tr>
      <w:tr>
        <w:trPr>
          <w:trHeight w:val="277"/>
        </w:trPr>
        <w:tc>
          <w:tcPr>
            <w:tcW w:w="4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9.4</w:t>
            </w:r>
          </w:p>
        </w:tc>
        <w:tc>
          <w:tcPr>
            <w:tcW w:w="52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8.1</w:t>
            </w: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29.7</w:t>
            </w:r>
          </w:p>
        </w:tc>
        <w:tc>
          <w:tcPr>
            <w:tcW w:w="520" w:type="dxa"/>
            <w:vAlign w:val="bottom"/>
          </w:tcPr>
          <w:p>
            <w:pPr>
              <w:spacing w:after="0"/>
              <w:rPr>
                <w:sz w:val="21"/>
                <w:szCs w:val="21"/>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11.5</w:t>
            </w:r>
          </w:p>
        </w:tc>
      </w:tr>
      <w:tr>
        <w:trPr>
          <w:trHeight w:val="27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Income/(Expense)</w:t>
            </w: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0.3</w:t>
            </w:r>
          </w:p>
        </w:tc>
        <w:tc>
          <w:tcPr>
            <w:tcW w:w="52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(813.8)</w:t>
            </w:r>
          </w:p>
        </w:tc>
        <w:tc>
          <w:tcPr>
            <w:tcW w:w="12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(124.5)</w:t>
            </w: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Income Before Provision for Income Taxes</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30.0</w:t>
            </w:r>
          </w:p>
        </w:tc>
        <w:tc>
          <w:tcPr>
            <w:tcW w:w="520" w:type="dxa"/>
            <w:vAlign w:val="bottom"/>
          </w:tcPr>
          <w:p>
            <w:pPr>
              <w:spacing w:after="0"/>
              <w:rPr>
                <w:sz w:val="21"/>
                <w:szCs w:val="21"/>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10.1</w:t>
            </w:r>
          </w:p>
        </w:tc>
      </w:tr>
      <w:tr>
        <w:trPr>
          <w:trHeight w:val="27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9.4</w:t>
            </w:r>
          </w:p>
        </w:tc>
        <w:tc>
          <w:tcPr>
            <w:tcW w:w="52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12.3</w:t>
            </w:r>
          </w:p>
        </w:tc>
      </w:tr>
      <w:tr>
        <w:trPr>
          <w:trHeight w:val="244"/>
        </w:trPr>
        <w:tc>
          <w:tcPr>
            <w:tcW w:w="44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20.7 %</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5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17.0 %</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9.1 %</w:t>
            </w:r>
          </w:p>
        </w:tc>
      </w:tr>
      <w:tr>
        <w:trPr>
          <w:trHeight w:val="20"/>
        </w:trPr>
        <w:tc>
          <w:tcPr>
            <w:tcW w:w="4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2017 to 2016</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 2017, Company net sales increased by $115.9 million, or 7% compared to the prior year. Automotive net sales increased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9% increase in automatic-dimming mirror shipments, from 36.1 million units in 2016 to 39.3 million units in 2017, primarily reflecting increased overall penetration of automatic-dimming mirrors, primarily within the Company's international markets. International automotive mirror unit shipments increased 15% in 2017 when compared with the prior year, primarily due to increased penetration of both interior and exterior automatic-dimming mirrors to certain European and Japanese automakers.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net sales decreased 6% to $36.7 million compared to the prior year, as dimmable aircraft window sales decreased 13% year over year, which was offset by an increase of 2% year over year for fire protection sales.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from 60.2% in 2016 to 61.3% in 2017, primarily due to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price reductions that were not fully offset with purchasing cost reductions, as well as the Company's inability to leverage fixed overhead costs due to negative product mix. Annual price reductions and fixed overhead costs independently impacted cost of goods sold as a percentage of net sales by approximately 100 - 150 basis points. These negative impacts were partially offset by the impact of purchasing cost reductions of 50 - 75 basis points.</w:t>
      </w:r>
    </w:p>
    <w:p>
      <w:pPr>
        <w:spacing w:after="0" w:line="1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increased by $5.5 million from 2016 to 2017, but remained at 6% of</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E, R &amp; D expenses in 2017 increased 6% year over year, compared to calendar year 2016, primarily due to increased staffing levels which continue to support growth and the development of new business.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expenses increased by $9.0 million or 14% from 2016 to 2017, but remained at 4% of net sales. The primary reason for the increase from 2016 to 2017 was due to increased staffing levels and travel expenses, as well as approximately $4.4 million in certain previously announced retirement related expenses associated with the retirement of the Company's previous CEO and Chairman of the Board.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2" w:right="239" w:bottom="1440" w:gutter="0" w:footer="0" w:header="0"/>
        </w:sectPr>
      </w:pPr>
    </w:p>
    <w:bookmarkStart w:id="20" w:name="page21"/>
    <w:bookmarkEnd w:id="20"/>
    <w:p>
      <w:pPr>
        <w:jc w:val="both"/>
        <w:spacing w:after="0" w:line="261"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Total Other Income/(Expense).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increased $ 4.7 million in 2017 versus 2016, primarily due to higher year-end mutual fund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distribution income. Other income – net increased $5.0 million in 2017 versus 2016, primarily due to increased realized gains on the sale of equity investments and decreased interest expense associated with the Company's debt financing, as discussed further in </w:t>
      </w:r>
      <w:hyperlink w:anchor="page53">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Consolidated Financial Statements.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23.5% for year ended December 31, 2017 compared to 31.9% the prior year. The effective tax rate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and 2017 differed from the statutory federal income tax rate, primarily due to the domestic manufacturing deduction for both years, as well as the impacts of the Tax Cuts and Jobs Act of 2017 ("Act"). As a result of the Act, the Company re-measured its deferred tax assets and liabilities, which was partially offset by the Company’s transition tax. The total impact of the tax adjustments reduced the Company’s income tax expense during the year by $37.2 million. Pursuant to the guidance within SEC Staff Accounting Bulletin No. 118 (“SAB 118”), as of December 31, 2017, the Company recognized the provisional effects of the enactment of the Tax Legislation for which measurement could be reasonably estimated. Although the Company continues to analyze certain aspects of the Act and refine its assessment, the ultimate impact of the Act may differ from these estimates due to its continued analysis or further regulatory guidance that may be issued as a result of the Act. Pursuant to SAB 118, adjustments to the provisional amounts recorded by the Company as of December 31, 2017 that are identified within a subsequent measurement period of up to one year from the enactment date will be included as an adjustment to tax expense from continuing operations in the period the amounts are determined.</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increased by $59.2 million, or 17% year over year, primarily due to the lower effective tax rate as well and a 7%</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increase in revenue on a year over year basis.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2016 to 2015</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Company net sales increased by $135.3 million, or 9% compared to the prior year. Automotive net sales increased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9% increase in automatic-dimming mirror shipments, from 33.0 million units in 2015 to 36.1 million units in 2016, primarily reflecting increased overall penetration of automatic-dimming mirrors. North American automotive mirror unit shipments increased 6% in 2016 compared with the prior year, primarily due to a 9% increase in shipments of the Company's exterior automatic-dimming mirrors and a 5% increase in shipments of interior automatic-dimming mirrors, each on a year over year basis. International automotive mirror unit shipments increased 11% in 2016 when compared with the prior year, primarily due to increased penetration of both interior and exterior automatic-dimming mirrors to certain European and Japanese automakers. During the fourth quarter of 2016, a raw material shortage of plastic, which is used in the majority of the Company's interior and exterior auto-dimming mirrors, impacted the ability of the Company to meet full customer demand for the fourth quarter, and as a result, negatively impacted unit shipments and revenue for the quarter. Also, during the fourth quarter of 2016, incremental plant shutdowns at OEM’s and inventory adjustments at certain Tier 1 customers negatively impacted quarterly unit shipments and revenue. The combined negative impact on revenue of these issues was approximately $15 million.</w:t>
      </w:r>
    </w:p>
    <w:p>
      <w:pPr>
        <w:spacing w:after="0" w:line="13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Other net sales increased 7% to $39.2 million compared to the prior year, as dimmable aircraft window sales increased 1% year over year and fire protection sales increased 15% year over year.</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from 60.9% in 2015 to 60.2% in 2016,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strength in product mix as well as purchasing cost reductions, which more than offset the impact of annual customer price reductions and the raw material shortage that occurred in the fourth quarter of 2016. Purchasing cost reductions and product mix each independently impacted cost of goods sold as a percentage of net sales by approximately 100 - 125 basis points, which was offset by the impact annual customer price reductions of 100 - 125 basis points. All other factors are estimated to have impacted cost of goods sold independently as a percentage of net sales by approximately 50 basis points.</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increased by $5.8 million from 2015 to 2016, but remained at 6% of</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E, R &amp; D expenses in 2016 increased 7% year over year, compared to calendar year 2015, primarily due to increased staffing levels which continue to support growth and the development of new business.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expenses increased by $5.9 million or 10% from 2015 to 2016, and remained at 4% of net sales. The primary reason for the increase from 2015 to 2016 was due to increased marketing and advertising expenditures.</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Total Other Income/(Expense).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decreased $0.2 million in 2016 versus 2015, primarily due to lower year-end mutual fund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income. Other income – net decreased $5.8 million in 2016 versus 2015, primarily due to lower realized gains on the sale of equity investments and increased interest expense associated with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15" w:right="239" w:bottom="1440" w:gutter="0" w:footer="0" w:header="0"/>
        </w:sectPr>
      </w:pPr>
    </w:p>
    <w:bookmarkStart w:id="21" w:name="page22"/>
    <w:bookmarkEnd w:id="21"/>
    <w:p>
      <w:pPr>
        <w:jc w:val="both"/>
        <w:spacing w:after="0" w:line="262" w:lineRule="auto"/>
        <w:rPr>
          <w:sz w:val="20"/>
          <w:szCs w:val="20"/>
          <w:color w:val="auto"/>
        </w:rPr>
      </w:pPr>
      <w:r>
        <w:rPr>
          <w:rFonts w:ascii="Arial" w:cs="Arial" w:eastAsia="Arial" w:hAnsi="Arial"/>
          <w:sz w:val="18"/>
          <w:szCs w:val="18"/>
          <w:color w:val="auto"/>
        </w:rPr>
        <w:t xml:space="preserve">Company's debt financing, as well as increased interest expense as a result of the interest rate swap implemented in 2015, as discussed further in </w:t>
      </w:r>
      <w:r>
        <w:rPr>
          <w:rFonts w:ascii="Arial" w:cs="Arial" w:eastAsia="Arial" w:hAnsi="Arial"/>
          <w:sz w:val="18"/>
          <w:szCs w:val="18"/>
          <w:u w:val="single" w:color="auto"/>
          <w:color w:val="0000EE"/>
        </w:rPr>
        <w:t>Note 2</w:t>
      </w:r>
      <w:r>
        <w:rPr>
          <w:rFonts w:ascii="Arial" w:cs="Arial" w:eastAsia="Arial" w:hAnsi="Arial"/>
          <w:sz w:val="18"/>
          <w:szCs w:val="18"/>
          <w:color w:val="auto"/>
        </w:rPr>
        <w:t xml:space="preserve"> of the Consolidated Financial Statements.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31.9% for year ended December 31, 2016 compared to 31.3% the prior year. The effective tax rate in 2015</w:t>
      </w:r>
      <w:r>
        <w:rPr>
          <w:rFonts w:ascii="Arial" w:cs="Arial" w:eastAsia="Arial" w:hAnsi="Arial"/>
          <w:sz w:val="18"/>
          <w:szCs w:val="18"/>
          <w:i w:val="1"/>
          <w:iCs w:val="1"/>
          <w:color w:val="auto"/>
        </w:rPr>
        <w:t xml:space="preserve"> </w:t>
      </w:r>
      <w:r>
        <w:rPr>
          <w:rFonts w:ascii="Arial" w:cs="Arial" w:eastAsia="Arial" w:hAnsi="Arial"/>
          <w:sz w:val="18"/>
          <w:szCs w:val="18"/>
          <w:color w:val="auto"/>
        </w:rPr>
        <w:t>and 2016 differed from the statutory federal income tax rate, primarily due to the domestic manufacturing deduction and the effect of the Protecting Americans from Tax Hikes (PATH) Act, which was signed into law in the fourth quarter and applied retroactively to January 1, 2015 for various tax provisions that had expired as of December 31, 2014. The increase in the effective tax rate in 2016 from the prior year is primarily due to the reduction of certain tax benefits during 2015 that were not repeated during 2016.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increased by $29.1 million, or 9% year over year, primarily due to increased sales.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financial condition throughout the periods presented has remained very strong, in spite of only mild overall improvements in the Company's primary markets.</w:t>
      </w:r>
    </w:p>
    <w:p>
      <w:pPr>
        <w:spacing w:after="0" w:line="1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cash and cash equivalents were $569.7 million, $546.5 million and $551.6 million as of December 31, 2017, 2016 and 2015, respectively. The Company's cash and cash equivalents include amounts held by foreign subsidiaries of $12.6 million, $7.9 million and $4.2 million as of December 31, 2017, 2016 and 2015, respectively. The Act, along with reducing the federal income tax rate to 21% from 35%, implements a modified territorial system that provides for an exemption for foreign dividends. However, a one-time transition tax is payable in respect of cumulative retained earnings of foreign subsidiaries at a rate of 15.5% for earnings represented by cash or cash equivalents and 8.0% for the balance of such earnings. Pursuant to the guidance within SAB 118, as of December 31, 2017, the Company recognized the provisional effects of the enactment of the Act for which measurement could be reasonably estimated, which was not material for the one-time transition tax. Although the Company continues to analyze certain aspects of the Act and refine its assessment, the ultimate impact of the Act may differ from these estimates due to its continued analysis or further regulatory guidance that may be issued as a result of the Act.</w:t>
      </w:r>
    </w:p>
    <w:p>
      <w:pPr>
        <w:spacing w:after="0" w:line="132"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Company's current ratio decreased from 7.7 as of December 31, 2016, to 4.9 as of December 31, 2017, primarily due to the repayment of $107.6 million of the Company's long term debt, and reclassifying the remaining $78.0 million as short term debt due to the maturity of the Company's term loan in September 2018, as discussed further in </w:t>
      </w:r>
      <w:hyperlink w:anchor="page53">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 The Company's current ratio increased from 7.5 as of December 31, 2015, to 7.7 as of December 31, 2016, primarily due to an increase in short term investments and accounts receivable, which increases were partially offset by an increase in accounts payable and decrease in prepaid expenses and other.</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 from operating activities was $501.0 million, $477.0 million and $354.4 million for the years ended December 31, 2017, 2016 and 2015, respectively. Cash flow from operating activities increased $24.0 million for the year ended December 31, 2017 compared to the prior year, primarily due to increased net income, partially offset by changes in working capital. Cash flow from operating activities increased $119.9 million for the year ended December 31, 2016, compared the same period in 2015, primarily due to increased net income and changes in working capital.</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 used for investing activities for the year ended December 31, 2017 decreased by $173.7 million to $77.7 million, compared with $251.4 million, during 2016, primarily due to decreased investment purchases and capital expenditures during the year, as a result of allocation of funds to repay the long-term debt and for common stock repurchases. Cash flow used for investing activities for the year ended December 31, 2016 increased by $161.7 million to $251.4 million, compared to the year ended December 31, 2015, primarily due to increased investment purchases and capital expenditures during the year, partially offset by an increase in sales proceeds of available for sale securities. Capital expenditures for the year ended December 31, 2017, were $104.0 million, compared with $121.0 million for the prior year, primarily due to decreases in production equipment purchases and building related costs. Capital expenditures for the year ended December 31, 2016 were $121.0 million, compared with $97.9 million the prior year, primarily due to an increase in production equipment purchases and building related costs.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 used for financing activities for the year ended December 31, 2017, increased $169.4 million to $400.0 million, compared to the prior year, primarily due to repurchases of common stock of $231.4 million compared to $163.4 million in 2016, repayments of long-term debt of $107.6 million compared to $47.5 million in 2016, and an increase of $7.7 million to $108.8 million in dividends paid. Cash flow used for financing activities for the year ended December 31, 2016, increased $20.1 million to $ 230.7 million compared to the year ended December 31, 2015, primarily due to increased common stock repurchases, repayments of debt, and dividends paid.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33" w:right="239" w:bottom="1440" w:gutter="0" w:footer="0" w:header="0"/>
        </w:sectPr>
      </w:pPr>
    </w:p>
    <w:bookmarkStart w:id="22" w:name="page23"/>
    <w:bookmarkEnd w:id="22"/>
    <w:p>
      <w:pPr>
        <w:ind w:right="280"/>
        <w:spacing w:after="0" w:line="256" w:lineRule="auto"/>
        <w:rPr>
          <w:sz w:val="20"/>
          <w:szCs w:val="20"/>
          <w:color w:val="auto"/>
        </w:rPr>
      </w:pPr>
      <w:r>
        <w:rPr>
          <w:rFonts w:ascii="Arial" w:cs="Arial" w:eastAsia="Arial" w:hAnsi="Arial"/>
          <w:sz w:val="18"/>
          <w:szCs w:val="18"/>
          <w:color w:val="auto"/>
        </w:rPr>
        <w:t>Short-term investments as of December 31, 2017 were $152.5 million, down from $177.0 million as of December 31, 2016 and Long-term investments were $57.8 million as of December 31, 2017, up from $49.9 million as of December 31, 2016, due to changes in the Company's overall investment portfolio.</w:t>
      </w:r>
    </w:p>
    <w:p>
      <w:pPr>
        <w:spacing w:after="0" w:line="12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Accounts receivable as of December 31, 2017 increased $19.5 million compared to December 31, 2016, primarily due to the higher sequential sales level.</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Inventories as of December 31, 2017, increased $27.5 million compared to December 31, 2016, primarily due to extended lead times on certain electronics and raw material inventory levels to support first quarter 2018 production and sales forecasts.</w:t>
      </w:r>
    </w:p>
    <w:p>
      <w:pPr>
        <w:spacing w:after="0" w:line="115" w:lineRule="exact"/>
        <w:rPr>
          <w:sz w:val="20"/>
          <w:szCs w:val="20"/>
          <w:color w:val="auto"/>
        </w:rPr>
      </w:pPr>
    </w:p>
    <w:p>
      <w:pPr>
        <w:jc w:val="both"/>
        <w:ind w:right="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Intangible Assets, net as of December 31, 2017 decreased $19.3 million compared to December 31, 2016, due to the amortization of definite lived intangible assets and patents, discussed further in in </w:t>
      </w:r>
      <w:hyperlink w:anchor="page66">
        <w:r>
          <w:rPr>
            <w:rFonts w:ascii="Arial" w:cs="Arial" w:eastAsia="Arial" w:hAnsi="Arial"/>
            <w:sz w:val="18"/>
            <w:szCs w:val="18"/>
            <w:u w:val="single" w:color="auto"/>
            <w:color w:val="0000EE"/>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Accounts payable as of December 31, 2017, increased $9.9 million compared to December 31, 2016, primarily due the timing of inventory and capital expenditure payments.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Long term debt as of December 31, 2017, decreased $178.1 million compared to December 31, 2016, due to principal repayments on the Company's long term debt financing, as well as the aforementioned reclassification of the debt from long-term to short-term in connection with the September 27, 2018 maturity of the Company's debt.</w:t>
      </w:r>
    </w:p>
    <w:p>
      <w:pPr>
        <w:spacing w:after="0" w:line="121"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Management considers the Company’s current working capital and long-term investments, as well as its existing debt financing arrangement (notwithstanding covenants prohibiting additional indebtedness), discussed further in </w:t>
      </w:r>
      <w:hyperlink w:anchor="page53">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Consolidated Financial Statements, in addition to internally generated cash flow, to be sufficient to cover anticipated cash needs for the foreseeable future considering its contractual obligations and commitments. The following is a summary of working capital and long-term investments: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2016</w:t>
            </w:r>
          </w:p>
        </w:tc>
        <w:tc>
          <w:tcPr>
            <w:tcW w:w="5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2015</w:t>
            </w: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940,916,816</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1,005,131,050</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853,002,246</w:t>
            </w:r>
          </w:p>
        </w:tc>
      </w:tr>
      <w:tr>
        <w:trPr>
          <w:trHeight w:val="250"/>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 Term Investments</w:t>
            </w:r>
          </w:p>
        </w:tc>
        <w:tc>
          <w:tcPr>
            <w:tcW w:w="5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57,782,418</w:t>
            </w:r>
          </w:p>
        </w:tc>
        <w:tc>
          <w:tcPr>
            <w:tcW w:w="5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49,894,363</w:t>
            </w:r>
          </w:p>
        </w:tc>
        <w:tc>
          <w:tcPr>
            <w:tcW w:w="5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95,156,539</w:t>
            </w: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998,699,234</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1,055,025,413</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948,158,785</w:t>
            </w:r>
          </w:p>
        </w:tc>
      </w:tr>
    </w:tbl>
    <w:p>
      <w:pPr>
        <w:spacing w:after="0" w:line="215" w:lineRule="exact"/>
        <w:rPr>
          <w:sz w:val="20"/>
          <w:szCs w:val="20"/>
          <w:color w:val="auto"/>
        </w:rPr>
      </w:pPr>
    </w:p>
    <w:p>
      <w:pPr>
        <w:ind w:right="2800"/>
        <w:spacing w:after="0" w:line="256" w:lineRule="auto"/>
        <w:rPr>
          <w:sz w:val="20"/>
          <w:szCs w:val="20"/>
          <w:color w:val="auto"/>
        </w:rPr>
      </w:pPr>
      <w:r>
        <w:rPr>
          <w:rFonts w:ascii="Arial" w:cs="Arial" w:eastAsia="Arial" w:hAnsi="Arial"/>
          <w:sz w:val="18"/>
          <w:szCs w:val="18"/>
          <w:color w:val="auto"/>
        </w:rPr>
        <w:t>The decrease in working capital as of December 31, 2017 is primarily due to the reclassification of long-term debt to current liability. The Company believes it has the ability to make the debt payments in anticipation of the debt maturity on September 27, 2018.</w:t>
      </w:r>
    </w:p>
    <w:p>
      <w:pPr>
        <w:spacing w:after="0" w:line="20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w:t>
      </w:r>
      <w:hyperlink w:anchor="page16">
        <w:r>
          <w:rPr>
            <w:rFonts w:ascii="Arial" w:cs="Arial" w:eastAsia="Arial" w:hAnsi="Arial"/>
            <w:sz w:val="18"/>
            <w:szCs w:val="18"/>
            <w:u w:val="single" w:color="auto"/>
            <w:color w:val="0000EE"/>
          </w:rPr>
          <w:t>Part II, Item 5</w:t>
        </w:r>
      </w:hyperlink>
      <w:r>
        <w:rPr>
          <w:rFonts w:ascii="Arial" w:cs="Arial" w:eastAsia="Arial" w:hAnsi="Arial"/>
          <w:sz w:val="18"/>
          <w:szCs w:val="18"/>
          <w:color w:val="auto"/>
        </w:rPr>
        <w:t>, for a complete discussion regarding the Company's previously announced share repurchase plan.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utilizes the light vehicle production forecasting services of IHS Worldwide, and IHS current forecasts for light vehicle production for calendar year 2018 are approximately 17.4 million units for North America, 22.7 million for Europe and 12.7 million for Japan and Korea.</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currently estimates that top line revenue for calendar year 2018 will be between $1.89 and $1.97 billion. All estimates are based on light vehicle production forecasts in the primary regions to which the Company ships product, as well as the estimated option rates for its mirrors on prospective vehicle models and anticipated product mix. The Company continues to see order rates and booked business that allow for these estimates despite modest vehicle production increases in our primary markets. Continuing uncertainties, including: light vehicle production levels; supplier part or material shortages; automotive plant shutdowns; sales rates in Europe, Asia and North America; challenging macroeconomic and geopolitical environments; OEM strategies and cost pressures; customer inventory management and the impact of potential automotive customer (including their Tier 1 suppliers) and supplier bankruptcies; work stoppages, strikes, etc., which could disrupt shipments to these customers, make forecasting difficult.</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estimating that the gross profit margin will be between 38.0% and 39.0% for calendar year 2018. Historically, annual customer price reductions place significant pressure on gross margin on an annual basis. However, given the current sales forecast and projected product mix for 2018, the Company continues to believe it may be able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8" w:right="239" w:bottom="1440" w:gutter="0" w:footer="0" w:header="0"/>
        </w:sectPr>
      </w:pPr>
    </w:p>
    <w:bookmarkStart w:id="23" w:name="page24"/>
    <w:bookmarkEnd w:id="23"/>
    <w:p>
      <w:pPr>
        <w:jc w:val="both"/>
        <w:spacing w:after="0" w:line="262" w:lineRule="auto"/>
        <w:rPr>
          <w:sz w:val="20"/>
          <w:szCs w:val="20"/>
          <w:color w:val="auto"/>
        </w:rPr>
      </w:pPr>
      <w:r>
        <w:rPr>
          <w:rFonts w:ascii="Arial" w:cs="Arial" w:eastAsia="Arial" w:hAnsi="Arial"/>
          <w:sz w:val="18"/>
          <w:szCs w:val="18"/>
          <w:color w:val="auto"/>
        </w:rPr>
        <w:t>to offset the majority of those annual customer price reductions with purchasing cost reductions, operational efficiencies, and by leveraging fixed overhead.</w:t>
      </w:r>
    </w:p>
    <w:p>
      <w:pPr>
        <w:spacing w:after="0" w:line="11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also currently estimates that its operating expenses, which include engineering, research and development expenses and selling, general and administrative expenses are expected to be between $180 and $190 million for calendar year 2018, with the increase primarily due to staffing and benefit costs which continue to support growth and the development of new business.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light of on-going demand for our automatic-dimming mirrors and electronics, the Company currently anticipates that 2018 capital expenditures will be approximately $115 - $130 million, a majority of which will be production equipment purchases. 2018 capital expenditures are currently anticipated to be financed from current cash and cash equivalents on hand and cash flows from operating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estimates that depreciation and amortization expense for calendar year 2018 will be approximately $105 - $115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further estimating that its tax rate will be between 18.0% and 21.0% for calendar year 2018.</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its previously announced share repurchase plan, the Company also intends to continue to repurchase additional shares of its common stock in 2018 and into the future depending on a number of factors, including: market, economic, and industry conditions; the market price of the Company's common stock; anti-dilutive effect on earnings; available cash; and other factors that the Company deems appropriate.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also providing top line revenue guidance for calendar year 2019. IHS current forecasts for light vehicle production for calendar year 2019 are approximately 17.4 million units for North America, 22.9 million for Europe and 12.5 million for Japan and Korea. Based on these forecasts, the Company is estimating that revenue for calendar year 2019 will increase approximately 5 to 10% over current estimates provided for 2018 revenue.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Risk Disclosure</w:t>
      </w:r>
    </w:p>
    <w:p>
      <w:pPr>
        <w:spacing w:after="0" w:line="166" w:lineRule="exact"/>
        <w:rPr>
          <w:sz w:val="20"/>
          <w:szCs w:val="20"/>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The Company is subject to market risk exposures of varying correlations and volatilities, including foreign exchange rate risk, interest rate risk and equity price risk. Volatile equity markets could negatively impact the Company's financial performance due to realized losses on the sale of equity investments and/or recognized losses due to other-than-temporary impairment adjustments on available-for-sale securities (mark-to-market adjustments). Interest rate fluctuations on the Company's long term debt financing could negatively impact our financial performance due to increased borrowing costs. The Company has entered into an interest rate swap transaction that has the effect of fixing the annual interest rate payable on $150 million of the Company’s outstanding debt under its existing credit facility at 1.89%, as of the effective date. Refer to </w:t>
      </w:r>
      <w:hyperlink w:anchor="page53">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Consolidated Financial Statements regarding further discussion of the Company's long term debt obligations as well as its interest rate swap transaction entered into on October 1, 2014. Based on loan balances as of December 31, 2017 and the effective date of July 31, 2016 of the interest rate swap, a one percent increase in the Company's borrowing rate would increase net interest expense paid by the Company on its borrowings by less than $0.1 million dollars on an annual basis.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some assets, liabilities and operations outside the United States, including multi-currency accounts, which currently are not significant overall to the Company as a whole. Because the Company sells its automotive mirrors throughout the world and automobile manufacturing is highly dependent on general economic conditions, it could be significantly affected by weak economic conditions in foreign markets that could reduce demand for its products.</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Most of the Company’s non-U.S. sales are invoiced and paid in U.S. dollars; during 2017, approximately 8% of the Company’s net sales were invoiced and paid in foreign currencies (compared to 7% for 2016 and 6% for 2015). The Company currently expects that approximately 7% of the Company’s net sales in 2018 will be invoiced and paid in foreign currencies. The Company does not currently engage in hedging activities of foreign currencies.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Most of the Company’s equity investments are managed by a number of outside equity fund managers who invest primarily in large capitalization companies traded on the U.S. stock markets.</w:t>
      </w:r>
    </w:p>
    <w:p>
      <w:pPr>
        <w:spacing w:after="0" w:line="115"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Company does not have any significant off-balance sheet arrangements or commitments that have not been recorded in its Consolidated Financial Statements. See the </w:t>
      </w:r>
      <w:hyperlink w:anchor="page25">
        <w:r>
          <w:rPr>
            <w:rFonts w:ascii="Arial" w:cs="Arial" w:eastAsia="Arial" w:hAnsi="Arial"/>
            <w:sz w:val="18"/>
            <w:szCs w:val="18"/>
            <w:u w:val="single" w:color="auto"/>
            <w:color w:val="0000EE"/>
          </w:rPr>
          <w:t>Contractual Obligations and Other Commitments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below.</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3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Contractual Obligations and Other Commitments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contractual obligations and other commitments (in millions) as of December 31,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Less than 1 Year</w:t>
            </w:r>
          </w:p>
        </w:tc>
        <w:tc>
          <w:tcPr>
            <w:tcW w:w="10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1-3 Years</w:t>
            </w:r>
          </w:p>
        </w:tc>
      </w:tr>
      <w:tr>
        <w:trPr>
          <w:trHeight w:val="256"/>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on short-term debt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Stock Repurchase Agreement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2"/>
                <w:szCs w:val="22"/>
                <w:color w:val="auto"/>
              </w:rPr>
            </w:pP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2"/>
                <w:szCs w:val="22"/>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6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22"/>
                <w:szCs w:val="22"/>
                <w:color w:val="auto"/>
              </w:rPr>
            </w:pP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2"/>
                <w:szCs w:val="22"/>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3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362.9</w:t>
            </w:r>
          </w:p>
        </w:tc>
        <w:tc>
          <w:tcPr>
            <w:tcW w:w="120" w:type="dxa"/>
            <w:vAlign w:val="bottom"/>
          </w:tcPr>
          <w:p>
            <w:pPr>
              <w:spacing w:after="0"/>
              <w:rPr>
                <w:sz w:val="21"/>
                <w:szCs w:val="21"/>
                <w:color w:val="auto"/>
              </w:rPr>
            </w:pP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0"/>
        </w:trPr>
        <w:tc>
          <w:tcPr>
            <w:tcW w:w="50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are primarily for raw material inventory and capital equipment.</w:t>
      </w:r>
    </w:p>
    <w:p>
      <w:pPr>
        <w:spacing w:after="0" w:line="22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Company agreed to repurchase approximately 5.5 million shares of common stock from the former CEO, pursuant to his previously disclosed retirement agreement, which was effective December 31, 2017, at an average price of $20.98 per share. These share repurchases were approved by the Company's Board of Directors and were not repurchased as part of the Company’s existing share repurchase plan. These shares were repurchased in January 2018.</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Accounting Policies and Critical Accounting Estimates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Company's consolidated financial statements, which have been prepared in accordance with accounting principles generally accepted in the United States, requires management to make estimates, assumptions and apply judgments that affect its financial position and results of operations. On an ongoing basis, management evaluates these estimates and assumptions. Management also continually reviews its accounting policies and financial information disclosures.</w:t>
      </w:r>
    </w:p>
    <w:p>
      <w:pPr>
        <w:spacing w:after="0" w:line="123" w:lineRule="exact"/>
        <w:rPr>
          <w:sz w:val="20"/>
          <w:szCs w:val="20"/>
          <w:color w:val="auto"/>
        </w:rPr>
      </w:pPr>
    </w:p>
    <w:p>
      <w:pPr>
        <w:jc w:val="both"/>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The Company’s significant accounting policies are described in </w:t>
      </w:r>
      <w:hyperlink w:anchor="page45">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The policies described below represent those that are broadly applicable to its operations and involve additional management judgment due to the sensitivity of the methods, assumptions and estimates necessary in determining the related amounts. These judgments are based on our historical experience, terms of existing contracts, and</w:t>
      </w:r>
    </w:p>
    <w:p>
      <w:pPr>
        <w:spacing w:after="0" w:line="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management’s evaluation of trends in the industry, information provided by our customers and information available from other outside sources, as appropriate.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an accounting estimate to be critical if:</w:t>
      </w:r>
    </w:p>
    <w:p>
      <w:pPr>
        <w:spacing w:after="0" w:line="9" w:lineRule="exact"/>
        <w:rPr>
          <w:sz w:val="20"/>
          <w:szCs w:val="20"/>
          <w:color w:val="auto"/>
        </w:rPr>
      </w:pPr>
    </w:p>
    <w:p>
      <w:pPr>
        <w:ind w:left="760" w:hanging="10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requires management to make assumptions about matters that were uncertain at the time of the estimate, and</w:t>
      </w:r>
    </w:p>
    <w:p>
      <w:pPr>
        <w:spacing w:after="0" w:line="9" w:lineRule="exact"/>
        <w:rPr>
          <w:rFonts w:ascii="Arial" w:cs="Arial" w:eastAsia="Arial" w:hAnsi="Arial"/>
          <w:sz w:val="18"/>
          <w:szCs w:val="18"/>
          <w:color w:val="auto"/>
        </w:rPr>
      </w:pPr>
    </w:p>
    <w:p>
      <w:pPr>
        <w:ind w:left="660" w:right="540" w:hanging="4"/>
        <w:spacing w:after="0" w:line="262" w:lineRule="auto"/>
        <w:tabs>
          <w:tab w:leader="none" w:pos="7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could have been selected would have had a material impact on our financial condition or results of operations.</w:t>
      </w:r>
    </w:p>
    <w:p>
      <w:pPr>
        <w:spacing w:after="0" w:line="3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Revenue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recognizes revenue in accordance with Accounting Standards Codification (ASC) 605,</w:t>
      </w:r>
      <w:r>
        <w:rPr>
          <w:rFonts w:ascii="Arial" w:cs="Arial" w:eastAsia="Arial" w:hAnsi="Arial"/>
          <w:sz w:val="18"/>
          <w:szCs w:val="18"/>
          <w:i w:val="1"/>
          <w:iCs w:val="1"/>
          <w:color w:val="auto"/>
        </w:rPr>
        <w:t xml:space="preserve"> Revenue Recognition in Financial Statements</w:t>
      </w:r>
      <w:r>
        <w:rPr>
          <w:rFonts w:ascii="Arial" w:cs="Arial" w:eastAsia="Arial" w:hAnsi="Arial"/>
          <w:sz w:val="18"/>
          <w:szCs w:val="18"/>
          <w:color w:val="auto"/>
        </w:rPr>
        <w:t>. Accordingly, revenue is recognized based on the terms of the customer purchase order that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title to the product and risk of ownership passes to the customer upon shipment. Sales are shown net of returns, which have not historically been significant. The Company does not generate sales from sale arrangements with multiple deliverables.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January 1, 2018, the Company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method. This guidance supersedes nearly all existing revenue recognition guidance under US GAAP. The core principle of the guidance is that an entity should recognize revenue when it transfers promised goods or services to customers in an amount that reflects the consideration to which the company expects to be entitled in exchange for those goods or services. The Company has drafted its accounting policy for the new standard based on a detailed review of its business and contracts. Based on the new guidance, the Company expects to continue recognizing revenue at a particular point in time for the majority of its contracts with customers, which is generally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when products are either shipped or delivered, and therefore does not anticipate a material impact on its consolidated financial statements.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reviews a monthly aging report of all accounts receivable balances starting with invoices outstanding over</w:t>
      </w:r>
      <w:r>
        <w:rPr>
          <w:rFonts w:ascii="Arial" w:cs="Arial" w:eastAsia="Arial" w:hAnsi="Arial"/>
          <w:sz w:val="18"/>
          <w:szCs w:val="18"/>
          <w:i w:val="1"/>
          <w:iCs w:val="1"/>
          <w:color w:val="auto"/>
        </w:rPr>
        <w:t xml:space="preserve"> </w:t>
      </w:r>
      <w:r>
        <w:rPr>
          <w:rFonts w:ascii="Arial" w:cs="Arial" w:eastAsia="Arial" w:hAnsi="Arial"/>
          <w:sz w:val="18"/>
          <w:szCs w:val="18"/>
          <w:color w:val="auto"/>
        </w:rPr>
        <w:t>sixty days. In addition, the Company monitors information about its customers through a variety of sources including the media, and information obtained through on-going interaction between Company personnel and the customer. Based on the evaluation of the above information, the Company estimates its allowances related to customer receivables on historical credit and collections experience, customers current financial condition and the specific identification of other potential problems, including the economic climate. Actual collections can differ, requiring adjustments to the allowances, but historically such adjustments have not been material.</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Inventories.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inventory allowances for slow-moving and obsolete inventories are based on current assessments of future demands,</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conditions, evaluation of longer lead times for certain electronic components and related management initiatives. If market conditions or customer requirements change and are less favorable than those projected by management, inventory allowances are adjusted accordingly.</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Goodwill and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reflects the cost of an acquisition in excess of the fair values assigned to identifiable net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The Company reviews goodwill for impairment during the fourth quarter on an annual basis or more frequently if events or changes in circumstances indicate that goodwill might be impaired. The Company performs an impairment review for its automotive reporting unit, which has been determined to be one of the Company’s reportable segments using a fair value method which incorporates management’s judgments and assumptions, as well as incorporates third party valuations. The fair value of a reporting unit refers to the price that would be received to sell the unit as a whole in an orderly transaction between market participants at the measurement date. In estimating the fair value, the Company uses a combination of widely accepted valuation methodologies incorporating certain judgments and assumptions to arrive at the fair value of the reporting unit.</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assumptions included in the impairment tests require judgment and changes to these inputs could impact the results of the calculations which could result in an impairment charge in future periods if the carrying amount of the reporting unit exceeds its calculated fair value. Other than management's internal projections of future cash flows, the primary assumptions used in the impairment tests are the weighted-average cost of capital and long-term growth rates. Although the Company's cash flow forecasts are based on assumptions that are considered reasonable by management and consistent with the plans and estimates management is using to operate the underlying business, there are significant judgments in determining the expected future cash flows attributable to a reporting unit. There have been no impairment charges booked currently or in prior periods in which goodwill existed.</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Indefinite lived intangible assets are also subject to annual impairment testing or more frequently if indicators of impairment are identified. Management judgment and assumptions are required in determining the underlying fair value of the indefinite lived intangible assets. While the Company believes the judgments and assumptions used in determining fair value are reasonable and no impairment existed at December 31, 2017 or December 31, 2016, different assumptions could change the estimated fair values and, therefore, impairment charges could be required, which could be material to the consolidated financial statements. The indefinite lived intangible assets were not impaired as a result of the annual test prepared by management for either period presented.</w:t>
      </w:r>
    </w:p>
    <w:p>
      <w:pPr>
        <w:spacing w:after="0" w:line="209" w:lineRule="exact"/>
        <w:rPr>
          <w:sz w:val="20"/>
          <w:szCs w:val="20"/>
          <w:color w:val="auto"/>
        </w:rPr>
      </w:pPr>
    </w:p>
    <w:p>
      <w:pPr>
        <w:ind w:right="26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66">
        <w:r>
          <w:rPr>
            <w:rFonts w:ascii="Arial" w:cs="Arial" w:eastAsia="Arial" w:hAnsi="Arial"/>
            <w:sz w:val="18"/>
            <w:szCs w:val="18"/>
            <w:u w:val="single" w:color="auto"/>
            <w:color w:val="0000EE"/>
          </w:rPr>
          <w:t>Note 10, "Goodwill and Intangible Assets"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consolidated financial statements for information regarding the impairment testing performed in calendar year 2017.</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internal investment committee regularly reviews its fixed income and equity investment portfolio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losses that would be deemed other-than-temporary and require the recognition of an impairment loss in income. If the cost of an investment exceeds its fair value, the Company evaluates, among other factors, general market conditions, the duration and extent to which the fair value is less than cost, and the Company’s intent and ability to hold the investment. Management also considers the type of security, related industry, sector performance, as well as published investment ratings and analyst reports to evaluate its portfolio. Once a decline in fair value is determined to be other-than-temporary, an impairment charge is recorded and a new cost basis in the investment is established. If market, industry, and/or investee conditions deteriorate, the Company may incur future impairments.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Effective January 1, 2018, the Company adopted ASU 2016-01, </w:t>
      </w:r>
      <w:r>
        <w:rPr>
          <w:rFonts w:ascii="Arial" w:cs="Arial" w:eastAsia="Arial" w:hAnsi="Arial"/>
          <w:sz w:val="18"/>
          <w:szCs w:val="18"/>
          <w:i w:val="1"/>
          <w:iCs w:val="1"/>
          <w:color w:val="auto"/>
        </w:rPr>
        <w:t>Recognition and Measurement of Financial Assets and Financial Liabilitie</w:t>
      </w:r>
      <w:r>
        <w:rPr>
          <w:rFonts w:ascii="Arial" w:cs="Arial" w:eastAsia="Arial" w:hAnsi="Arial"/>
          <w:sz w:val="18"/>
          <w:szCs w:val="18"/>
          <w:color w:val="auto"/>
        </w:rPr>
        <w: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standard requires most equity investments to be measured at fair value, with subsequent changes in fair value recognized in 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Upon the effective date of the new standards, all equity investments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8" w:right="239" w:bottom="1440" w:gutter="0" w:footer="0" w:header="0"/>
        </w:sectPr>
      </w:pPr>
    </w:p>
    <w:bookmarkStart w:id="26" w:name="page27"/>
    <w:bookmarkEnd w:id="26"/>
    <w:p>
      <w:pPr>
        <w:jc w:val="both"/>
        <w:spacing w:after="0" w:line="252" w:lineRule="auto"/>
        <w:rPr>
          <w:sz w:val="20"/>
          <w:szCs w:val="20"/>
          <w:color w:val="auto"/>
        </w:rPr>
      </w:pPr>
      <w:r>
        <w:rPr>
          <w:rFonts w:ascii="Arial" w:cs="Arial" w:eastAsia="Arial" w:hAnsi="Arial"/>
          <w:sz w:val="18"/>
          <w:szCs w:val="18"/>
          <w:color w:val="auto"/>
        </w:rPr>
        <w:t>in unconsolidated entities, other than those accounted for using the equity method of accounting, will generally be measured at fair value through earnings. There will no longer be an available-for-sale classification and therefore, no changes in fair value will be reported in other comprehensive income (loss) for equity securities with readily determinable fair values. The amendment also impacts the measurement of financial liabilities under the fair value option as well as certain presentation and disclosure requirements for financial instruments. The amendment requires certain provisions to be applied prospectively and others to be applied by means of a cumulative-effect adjustment. The Company will have a cumulative-effect adjustment in the first quarter of 2018 of approximately $7 million as a result of the implementation of this guidance.</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Self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self-insured for health and workers’ compensation benefits up to certain stop-loss limits. Such costs are</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based on known claims and an estimate of incurred, but not reported (IBNR) claims. IBNR claims are estimated using historical lag information and other data provided by claims administrators. This estimation process is subjective, and to the extent that future results differ from original estimates, adjustments to recorded accruals may be necessary.</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applies the provisions of ASC 740 as it relates to uncertainty in income taxes recognized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 threshold of more likely than not to be sustained upon examination is applied to uncertain tax positions. The Company deems the estimates related to this provision to be reasonable, however, no assurance can be given that the final outcome of these matters will not vary from what is reflected in the historical income tax provisions and accruals.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accounts for stock-based compensation in accordance with the fair value recognition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ASC 718. The Company utilizes the Black-Scholes model, which requires the input of subjective assumptions. These assumptions include estimating (a) the length of time employees will retain their vested stock options before exercising them (“expected term”), (b) the volatility of the Company’s common stock price over the expected term, (c) the number of options that will ultimately not complete their vesting requirements (“forfeitures”) and (d) expected dividends. Changes in the subjective assumptions can materially affect the estimate of fair value of stock-based compensation and consequently, the related amounts recognized on the consolidated condensed statements of operations.</w:t>
      </w:r>
    </w:p>
    <w:p>
      <w:pPr>
        <w:spacing w:after="0" w:line="12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also </w:t>
      </w:r>
      <w:hyperlink w:anchor="page34">
        <w:r>
          <w:rPr>
            <w:rFonts w:ascii="Arial" w:cs="Arial" w:eastAsia="Arial" w:hAnsi="Arial"/>
            <w:sz w:val="18"/>
            <w:szCs w:val="18"/>
            <w:u w:val="single" w:color="auto"/>
            <w:color w:val="0000EE"/>
          </w:rPr>
          <w:t>Item 13 of Part III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with respect to “Certain Transactions”, which is incorporated herein.</w:t>
      </w:r>
    </w:p>
    <w:p>
      <w:pPr>
        <w:spacing w:after="0" w:line="36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6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See "</w:t>
      </w:r>
      <w:hyperlink w:anchor="page24">
        <w:r>
          <w:rPr>
            <w:rFonts w:ascii="Arial" w:cs="Arial" w:eastAsia="Arial" w:hAnsi="Arial"/>
            <w:sz w:val="18"/>
            <w:szCs w:val="18"/>
            <w:u w:val="single" w:color="auto"/>
            <w:color w:val="0000EE"/>
          </w:rPr>
          <w:t>Market Risk Disclosure</w:t>
        </w:r>
      </w:hyperlink>
      <w:r>
        <w:rPr>
          <w:rFonts w:ascii="Arial" w:cs="Arial" w:eastAsia="Arial" w:hAnsi="Arial"/>
          <w:sz w:val="18"/>
          <w:szCs w:val="18"/>
          <w:color w:val="auto"/>
        </w:rPr>
        <w:t>" in Management’s Discussion and Analysis (Item 7).</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8" w:right="23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financial statements and reports of independent registered public accounting firm are filed with this report following the signature page: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60" w:type="dxa"/>
            <w:vAlign w:val="bottom"/>
            <w:gridSpan w:val="5"/>
          </w:tcPr>
          <w:p>
            <w:pPr>
              <w:ind w:left="60"/>
              <w:spacing w:after="0"/>
              <w:rPr>
                <w:sz w:val="20"/>
                <w:szCs w:val="20"/>
                <w:color w:val="auto"/>
              </w:rPr>
            </w:pPr>
            <w:r>
              <w:rPr>
                <w:rFonts w:ascii="Arial" w:cs="Arial" w:eastAsia="Arial" w:hAnsi="Arial"/>
                <w:sz w:val="16"/>
                <w:szCs w:val="16"/>
                <w:b w:val="1"/>
                <w:bCs w:val="1"/>
                <w:color w:val="auto"/>
              </w:rPr>
              <w:t>Document</w:t>
            </w:r>
          </w:p>
        </w:tc>
        <w:tc>
          <w:tcPr>
            <w:tcW w:w="3200" w:type="dxa"/>
            <w:vAlign w:val="bottom"/>
            <w:gridSpan w:val="3"/>
          </w:tcPr>
          <w:p>
            <w:pPr>
              <w:jc w:val="center"/>
              <w:ind w:left="2739"/>
              <w:spacing w:after="0"/>
              <w:rPr>
                <w:sz w:val="20"/>
                <w:szCs w:val="20"/>
                <w:color w:val="auto"/>
              </w:rPr>
            </w:pPr>
            <w:r>
              <w:rPr>
                <w:rFonts w:ascii="Arial" w:cs="Arial" w:eastAsia="Arial" w:hAnsi="Arial"/>
                <w:sz w:val="16"/>
                <w:szCs w:val="16"/>
                <w:b w:val="1"/>
                <w:bCs w:val="1"/>
                <w:color w:val="auto"/>
                <w:w w:val="99"/>
              </w:rPr>
              <w:t>Page</w:t>
            </w:r>
          </w:p>
        </w:tc>
      </w:tr>
      <w:tr>
        <w:trPr>
          <w:trHeight w:val="344"/>
        </w:trPr>
        <w:tc>
          <w:tcPr>
            <w:tcW w:w="4140" w:type="dxa"/>
            <w:vAlign w:val="bottom"/>
            <w:gridSpan w:val="2"/>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Report of Independent Registered Public Accounting Firm</w:t>
              </w:r>
            </w:hyperlink>
          </w:p>
        </w:tc>
        <w:tc>
          <w:tcPr>
            <w:tcW w:w="3720" w:type="dxa"/>
            <w:vAlign w:val="bottom"/>
            <w:gridSpan w:val="6"/>
          </w:tcPr>
          <w:p>
            <w:pPr>
              <w:spacing w:after="0"/>
              <w:rPr>
                <w:sz w:val="24"/>
                <w:szCs w:val="24"/>
                <w:color w:val="auto"/>
              </w:rPr>
            </w:pPr>
          </w:p>
        </w:tc>
        <w:tc>
          <w:tcPr>
            <w:tcW w:w="3100" w:type="dxa"/>
            <w:vAlign w:val="bottom"/>
            <w:gridSpan w:val="2"/>
          </w:tcPr>
          <w:p>
            <w:pPr>
              <w:jc w:val="center"/>
              <w:ind w:left="2839"/>
              <w:spacing w:after="0"/>
              <w:rPr>
                <w:rFonts w:ascii="Arial" w:cs="Arial" w:eastAsia="Arial" w:hAnsi="Arial"/>
                <w:sz w:val="16"/>
                <w:szCs w:val="16"/>
                <w:color w:val="0000EE"/>
              </w:rPr>
            </w:pPr>
            <w:hyperlink w:anchor="page38">
              <w:r>
                <w:rPr>
                  <w:rFonts w:ascii="Arial" w:cs="Arial" w:eastAsia="Arial" w:hAnsi="Arial"/>
                  <w:sz w:val="16"/>
                  <w:szCs w:val="16"/>
                  <w:color w:val="0000EE"/>
                </w:rPr>
                <w:t>37</w:t>
              </w:r>
            </w:hyperlink>
          </w:p>
        </w:tc>
        <w:tc>
          <w:tcPr>
            <w:tcW w:w="10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20" w:type="dxa"/>
            <w:vAlign w:val="bottom"/>
            <w:gridSpan w:val="6"/>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Report of Independent Registered Public Accounting Firm on Internal Control over Financial Reporting</w:t>
              </w:r>
            </w:hyperlink>
          </w:p>
        </w:tc>
        <w:tc>
          <w:tcPr>
            <w:tcW w:w="540" w:type="dxa"/>
            <w:vAlign w:val="bottom"/>
            <w:gridSpan w:val="2"/>
          </w:tcPr>
          <w:p>
            <w:pPr>
              <w:spacing w:after="0"/>
              <w:rPr>
                <w:sz w:val="19"/>
                <w:szCs w:val="19"/>
                <w:color w:val="auto"/>
              </w:rPr>
            </w:pPr>
          </w:p>
        </w:tc>
        <w:tc>
          <w:tcPr>
            <w:tcW w:w="3100" w:type="dxa"/>
            <w:vAlign w:val="bottom"/>
            <w:gridSpan w:val="2"/>
          </w:tcPr>
          <w:p>
            <w:pPr>
              <w:jc w:val="center"/>
              <w:ind w:left="2839"/>
              <w:spacing w:after="0"/>
              <w:rPr>
                <w:rFonts w:ascii="Arial" w:cs="Arial" w:eastAsia="Arial" w:hAnsi="Arial"/>
                <w:sz w:val="16"/>
                <w:szCs w:val="16"/>
                <w:color w:val="0000EE"/>
              </w:rPr>
            </w:pPr>
            <w:hyperlink w:anchor="page39">
              <w:r>
                <w:rPr>
                  <w:rFonts w:ascii="Arial" w:cs="Arial" w:eastAsia="Arial" w:hAnsi="Arial"/>
                  <w:sz w:val="16"/>
                  <w:szCs w:val="16"/>
                  <w:color w:val="0000EE"/>
                </w:rPr>
                <w:t>38</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20" w:type="dxa"/>
            <w:vAlign w:val="bottom"/>
            <w:gridSpan w:val="6"/>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Consolidated Balance Sheets as of December 31, 2017 and 2016</w:t>
              </w:r>
            </w:hyperlink>
          </w:p>
        </w:tc>
        <w:tc>
          <w:tcPr>
            <w:tcW w:w="540" w:type="dxa"/>
            <w:vAlign w:val="bottom"/>
            <w:gridSpan w:val="2"/>
          </w:tcPr>
          <w:p>
            <w:pPr>
              <w:spacing w:after="0"/>
              <w:rPr>
                <w:sz w:val="19"/>
                <w:szCs w:val="19"/>
                <w:color w:val="auto"/>
              </w:rPr>
            </w:pPr>
          </w:p>
        </w:tc>
        <w:tc>
          <w:tcPr>
            <w:tcW w:w="3100" w:type="dxa"/>
            <w:vAlign w:val="bottom"/>
            <w:gridSpan w:val="2"/>
          </w:tcPr>
          <w:p>
            <w:pPr>
              <w:jc w:val="center"/>
              <w:ind w:left="2839"/>
              <w:spacing w:after="0"/>
              <w:rPr>
                <w:rFonts w:ascii="Arial" w:cs="Arial" w:eastAsia="Arial" w:hAnsi="Arial"/>
                <w:sz w:val="16"/>
                <w:szCs w:val="16"/>
                <w:color w:val="0000EE"/>
              </w:rPr>
            </w:pPr>
            <w:hyperlink w:anchor="page40">
              <w:r>
                <w:rPr>
                  <w:rFonts w:ascii="Arial" w:cs="Arial" w:eastAsia="Arial" w:hAnsi="Arial"/>
                  <w:sz w:val="16"/>
                  <w:szCs w:val="16"/>
                  <w:color w:val="0000EE"/>
                </w:rPr>
                <w:t>39</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860" w:type="dxa"/>
            <w:vAlign w:val="bottom"/>
            <w:gridSpan w:val="8"/>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Consolidated Statements of Income for the years ended December 31, 2017, 2016 and 2015</w:t>
              </w:r>
            </w:hyperlink>
          </w:p>
        </w:tc>
        <w:tc>
          <w:tcPr>
            <w:tcW w:w="3100" w:type="dxa"/>
            <w:vAlign w:val="bottom"/>
            <w:gridSpan w:val="2"/>
          </w:tcPr>
          <w:p>
            <w:pPr>
              <w:jc w:val="center"/>
              <w:ind w:left="2839"/>
              <w:spacing w:after="0"/>
              <w:rPr>
                <w:rFonts w:ascii="Arial" w:cs="Arial" w:eastAsia="Arial" w:hAnsi="Arial"/>
                <w:sz w:val="16"/>
                <w:szCs w:val="16"/>
                <w:color w:val="0000EE"/>
              </w:rPr>
            </w:pPr>
            <w:hyperlink w:anchor="page41">
              <w:r>
                <w:rPr>
                  <w:rFonts w:ascii="Arial" w:cs="Arial" w:eastAsia="Arial" w:hAnsi="Arial"/>
                  <w:sz w:val="16"/>
                  <w:szCs w:val="16"/>
                  <w:color w:val="0000EE"/>
                </w:rPr>
                <w:t>40</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860" w:type="dxa"/>
            <w:vAlign w:val="bottom"/>
            <w:gridSpan w:val="8"/>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Consolidated Statement of Comprehensive Income for the years ended December 31, 2017, 2016 and 2015</w:t>
              </w:r>
            </w:hyperlink>
          </w:p>
        </w:tc>
        <w:tc>
          <w:tcPr>
            <w:tcW w:w="3100" w:type="dxa"/>
            <w:vAlign w:val="bottom"/>
            <w:gridSpan w:val="2"/>
          </w:tcPr>
          <w:p>
            <w:pPr>
              <w:jc w:val="center"/>
              <w:ind w:left="2839"/>
              <w:spacing w:after="0"/>
              <w:rPr>
                <w:rFonts w:ascii="Arial" w:cs="Arial" w:eastAsia="Arial" w:hAnsi="Arial"/>
                <w:sz w:val="16"/>
                <w:szCs w:val="16"/>
                <w:color w:val="0000EE"/>
              </w:rPr>
            </w:pPr>
            <w:hyperlink w:anchor="page42">
              <w:r>
                <w:rPr>
                  <w:rFonts w:ascii="Arial" w:cs="Arial" w:eastAsia="Arial" w:hAnsi="Arial"/>
                  <w:sz w:val="16"/>
                  <w:szCs w:val="16"/>
                  <w:color w:val="0000EE"/>
                </w:rPr>
                <w:t>41</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860" w:type="dxa"/>
            <w:vAlign w:val="bottom"/>
            <w:gridSpan w:val="8"/>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Consolidated Statement of Shareholders’ Investment for the years ended December 31, 2017, 2016 and 2015</w:t>
              </w:r>
            </w:hyperlink>
          </w:p>
        </w:tc>
        <w:tc>
          <w:tcPr>
            <w:tcW w:w="3100" w:type="dxa"/>
            <w:vAlign w:val="bottom"/>
            <w:gridSpan w:val="2"/>
          </w:tcPr>
          <w:p>
            <w:pPr>
              <w:jc w:val="center"/>
              <w:ind w:left="2839"/>
              <w:spacing w:after="0"/>
              <w:rPr>
                <w:rFonts w:ascii="Arial" w:cs="Arial" w:eastAsia="Arial" w:hAnsi="Arial"/>
                <w:sz w:val="16"/>
                <w:szCs w:val="16"/>
                <w:color w:val="0000EE"/>
              </w:rPr>
            </w:pPr>
            <w:hyperlink w:anchor="page43">
              <w:r>
                <w:rPr>
                  <w:rFonts w:ascii="Arial" w:cs="Arial" w:eastAsia="Arial" w:hAnsi="Arial"/>
                  <w:sz w:val="16"/>
                  <w:szCs w:val="16"/>
                  <w:color w:val="0000EE"/>
                </w:rPr>
                <w:t>42</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60" w:type="dxa"/>
            <w:vAlign w:val="bottom"/>
            <w:gridSpan w:val="5"/>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Consolidated Statements of Cash Flows for the years ended December 31, 2017, 2016 and 2015</w:t>
              </w:r>
            </w:hyperlink>
          </w:p>
        </w:tc>
        <w:tc>
          <w:tcPr>
            <w:tcW w:w="900" w:type="dxa"/>
            <w:vAlign w:val="bottom"/>
            <w:gridSpan w:val="3"/>
          </w:tcPr>
          <w:p>
            <w:pPr>
              <w:spacing w:after="0"/>
              <w:rPr>
                <w:sz w:val="19"/>
                <w:szCs w:val="19"/>
                <w:color w:val="auto"/>
              </w:rPr>
            </w:pPr>
          </w:p>
        </w:tc>
        <w:tc>
          <w:tcPr>
            <w:tcW w:w="3100" w:type="dxa"/>
            <w:vAlign w:val="bottom"/>
            <w:gridSpan w:val="2"/>
          </w:tcPr>
          <w:p>
            <w:pPr>
              <w:jc w:val="center"/>
              <w:ind w:left="2839"/>
              <w:spacing w:after="0"/>
              <w:rPr>
                <w:rFonts w:ascii="Arial" w:cs="Arial" w:eastAsia="Arial" w:hAnsi="Arial"/>
                <w:sz w:val="16"/>
                <w:szCs w:val="16"/>
                <w:color w:val="0000EE"/>
              </w:rPr>
            </w:pPr>
            <w:hyperlink w:anchor="page44">
              <w:r>
                <w:rPr>
                  <w:rFonts w:ascii="Arial" w:cs="Arial" w:eastAsia="Arial" w:hAnsi="Arial"/>
                  <w:sz w:val="16"/>
                  <w:szCs w:val="16"/>
                  <w:color w:val="0000EE"/>
                </w:rPr>
                <w:t>43</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60" w:type="dxa"/>
            <w:vAlign w:val="bottom"/>
            <w:gridSpan w:val="5"/>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Notes to Consolidated Financial Statements</w:t>
              </w:r>
            </w:hyperlink>
          </w:p>
        </w:tc>
        <w:tc>
          <w:tcPr>
            <w:tcW w:w="900" w:type="dxa"/>
            <w:vAlign w:val="bottom"/>
            <w:gridSpan w:val="3"/>
          </w:tcPr>
          <w:p>
            <w:pPr>
              <w:spacing w:after="0"/>
              <w:rPr>
                <w:sz w:val="19"/>
                <w:szCs w:val="19"/>
                <w:color w:val="auto"/>
              </w:rPr>
            </w:pPr>
          </w:p>
        </w:tc>
        <w:tc>
          <w:tcPr>
            <w:tcW w:w="3100" w:type="dxa"/>
            <w:vAlign w:val="bottom"/>
            <w:gridSpan w:val="2"/>
          </w:tcPr>
          <w:p>
            <w:pPr>
              <w:jc w:val="center"/>
              <w:ind w:left="2839"/>
              <w:spacing w:after="0"/>
              <w:rPr>
                <w:rFonts w:ascii="Arial" w:cs="Arial" w:eastAsia="Arial" w:hAnsi="Arial"/>
                <w:sz w:val="16"/>
                <w:szCs w:val="16"/>
                <w:color w:val="0000EE"/>
              </w:rPr>
            </w:pPr>
            <w:hyperlink w:anchor="page45">
              <w:r>
                <w:rPr>
                  <w:rFonts w:ascii="Arial" w:cs="Arial" w:eastAsia="Arial" w:hAnsi="Arial"/>
                  <w:sz w:val="16"/>
                  <w:szCs w:val="16"/>
                  <w:color w:val="0000EE"/>
                </w:rPr>
                <w:t>44</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financial data for the past two years appears in the following table:</w:t>
      </w: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Quarterly Results of Operations</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862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8"/>
              </w:rPr>
              <w:t>First</w:t>
            </w:r>
          </w:p>
        </w:tc>
        <w:tc>
          <w:tcPr>
            <w:tcW w:w="7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Second</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Third</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Fourth</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453,535</w:t>
            </w:r>
          </w:p>
        </w:tc>
        <w:tc>
          <w:tcPr>
            <w:tcW w:w="4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405,568</w:t>
            </w:r>
          </w:p>
        </w:tc>
        <w:tc>
          <w:tcPr>
            <w:tcW w:w="14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443,139</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423,801</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438,628</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429,643</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459,570</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419,913</w:t>
            </w:r>
          </w:p>
        </w:tc>
        <w:tc>
          <w:tcPr>
            <w:tcW w:w="0" w:type="dxa"/>
            <w:vAlign w:val="bottom"/>
          </w:tcPr>
          <w:p>
            <w:pPr>
              <w:spacing w:after="0"/>
              <w:rPr>
                <w:sz w:val="1"/>
                <w:szCs w:val="1"/>
                <w:color w:val="auto"/>
              </w:rPr>
            </w:pPr>
          </w:p>
        </w:tc>
      </w:tr>
      <w:tr>
        <w:trPr>
          <w:trHeight w:val="66"/>
        </w:trPr>
        <w:tc>
          <w:tcPr>
            <w:tcW w:w="33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420" w:type="dxa"/>
            <w:vAlign w:val="bottom"/>
            <w:gridSpan w:val="3"/>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175,801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158,691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167,208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166,773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171,230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173,822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180,290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169,167</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0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134,427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120,849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125,865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128,746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129,073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134,212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133,994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127,936</w:t>
            </w:r>
          </w:p>
        </w:tc>
        <w:tc>
          <w:tcPr>
            <w:tcW w:w="0" w:type="dxa"/>
            <w:vAlign w:val="bottom"/>
          </w:tcPr>
          <w:p>
            <w:pPr>
              <w:spacing w:after="0"/>
              <w:rPr>
                <w:sz w:val="1"/>
                <w:szCs w:val="1"/>
                <w:color w:val="auto"/>
              </w:rPr>
            </w:pPr>
          </w:p>
        </w:tc>
      </w:tr>
      <w:tr>
        <w:trPr>
          <w:trHeight w:val="66"/>
        </w:trPr>
        <w:tc>
          <w:tcPr>
            <w:tcW w:w="33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97,557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80,280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88,536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86,485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90,230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92,065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130,469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88,761</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4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0.28</w:t>
            </w:r>
          </w:p>
        </w:tc>
        <w:tc>
          <w:tcPr>
            <w:tcW w:w="14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0.31</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0.30</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0.32</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0.32</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0.46</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66"/>
        </w:trPr>
        <w:tc>
          <w:tcPr>
            <w:tcW w:w="33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420" w:type="dxa"/>
            <w:vAlign w:val="bottom"/>
            <w:gridSpan w:val="3"/>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40"/>
              <w:spacing w:after="0"/>
              <w:rPr>
                <w:sz w:val="20"/>
                <w:szCs w:val="20"/>
                <w:color w:val="auto"/>
              </w:rPr>
            </w:pPr>
            <w:r>
              <w:rPr>
                <w:rFonts w:ascii="Arial" w:cs="Arial" w:eastAsia="Arial" w:hAnsi="Arial"/>
                <w:sz w:val="14"/>
                <w:szCs w:val="14"/>
                <w:color w:val="auto"/>
              </w:rPr>
              <w:t>Diluted Earnings per share</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0.33</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0.28</w:t>
            </w:r>
          </w:p>
        </w:tc>
        <w:tc>
          <w:tcPr>
            <w:tcW w:w="140" w:type="dxa"/>
            <w:vAlign w:val="bottom"/>
          </w:tcPr>
          <w:p>
            <w:pPr>
              <w:spacing w:after="0"/>
              <w:rPr>
                <w:sz w:val="17"/>
                <w:szCs w:val="17"/>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17"/>
                <w:szCs w:val="17"/>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17"/>
                <w:szCs w:val="17"/>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17"/>
                <w:szCs w:val="17"/>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17"/>
                <w:szCs w:val="17"/>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0.46</w:t>
            </w:r>
          </w:p>
        </w:tc>
        <w:tc>
          <w:tcPr>
            <w:tcW w:w="120" w:type="dxa"/>
            <w:vAlign w:val="bottom"/>
          </w:tcPr>
          <w:p>
            <w:pPr>
              <w:spacing w:after="0"/>
              <w:rPr>
                <w:sz w:val="17"/>
                <w:szCs w:val="17"/>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6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defined in Item 304 of Regulation S-K, there have been no changes in, or disagreements with, accountants during the 24-month period ended December 31, 2017.</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supervision of and with the participation of the Company’s management, the Company's CEO and CFO have evaluated the effectiveness of the design and operation of the Company’s disclosure controls and procedures ([as defined in Exchange Act Rules 13a – 15(e) and 15d – 15(e)]) as of December 31, 2017, and have concluded that the Company’s disclosure controls and procedures are adequate and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 – 15(f) and 15d – 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(2013) issued by the Committee of Sponsoring Organizations of the Treadway Commission. Based on this assessment, management asserts that the Company has maintained effective internal control over financial reporting as of December 31, 2017.</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21"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effectiveness of the Company’s internal control over financial reporting as of December 31, 2017, has been audited by Ernst &amp; Young LLP, an independent registered public accounting firm, as stated in their report which is included in </w:t>
      </w:r>
      <w:hyperlink w:anchor="page38">
        <w:r>
          <w:rPr>
            <w:rFonts w:ascii="Arial" w:cs="Arial" w:eastAsia="Arial" w:hAnsi="Arial"/>
            <w:sz w:val="18"/>
            <w:szCs w:val="18"/>
            <w:u w:val="single" w:color="auto"/>
            <w:color w:val="0000EE"/>
          </w:rPr>
          <w:t>Part IV</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period covered by this annual report, there have been no changes in the Company’s internal controls over financial reporting that have materially affected or are reasonably likely to materially affect the Company’s internal controls over financial reporting. In addition, there have been no significant changes in the Company’s internal controls or in other factors that could significantly affect internal controls subsequent to December 31, 2017.</w:t>
      </w:r>
    </w:p>
    <w:p>
      <w:pPr>
        <w:spacing w:after="0" w:line="1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tab/>
        <w:t>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11" w:right="239" w:bottom="1440" w:gutter="0" w:footer="0" w:header="0"/>
        </w:sectPr>
      </w:pPr>
    </w:p>
    <w:bookmarkStart w:id="29" w:name="page30"/>
    <w:bookmarkEnd w:id="29"/>
    <w:p>
      <w:pPr>
        <w:ind w:left="53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 of the Registrant</w:t>
      </w:r>
    </w:p>
    <w:p>
      <w:pPr>
        <w:spacing w:after="0" w:line="31"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The following table lists the names, ages, and positions of all of the Company’s executive officers at the time of this report. Officers are generally elected at the meeting of the Board of Directors following the annual meeting of shareholders.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AGE</w:t>
            </w:r>
          </w:p>
        </w:tc>
        <w:tc>
          <w:tcPr>
            <w:tcW w:w="120" w:type="dxa"/>
            <w:vAlign w:val="bottom"/>
            <w:shd w:val="clear" w:color="auto" w:fill="CCEEFF"/>
          </w:tcPr>
          <w:p>
            <w:pPr>
              <w:spacing w:after="0"/>
              <w:rPr>
                <w:sz w:val="22"/>
                <w:szCs w:val="22"/>
                <w:color w:val="auto"/>
              </w:rPr>
            </w:pPr>
          </w:p>
        </w:tc>
        <w:tc>
          <w:tcPr>
            <w:tcW w:w="5780" w:type="dxa"/>
            <w:vAlign w:val="bottom"/>
            <w:tcBorders>
              <w:bottom w:val="single" w:sz="8" w:color="auto"/>
            </w:tcBorders>
            <w:shd w:val="clear" w:color="auto" w:fill="CCEEFF"/>
          </w:tcPr>
          <w:p>
            <w:pPr>
              <w:ind w:left="2540"/>
              <w:spacing w:after="0"/>
              <w:rPr>
                <w:sz w:val="20"/>
                <w:szCs w:val="20"/>
                <w:color w:val="auto"/>
              </w:rPr>
            </w:pPr>
            <w:r>
              <w:rPr>
                <w:rFonts w:ascii="Arial" w:cs="Arial" w:eastAsia="Arial" w:hAnsi="Arial"/>
                <w:sz w:val="14"/>
                <w:szCs w:val="14"/>
                <w:b w:val="1"/>
                <w:bCs w:val="1"/>
                <w:color w:val="auto"/>
              </w:rPr>
              <w:t>POSITION</w:t>
            </w:r>
          </w:p>
        </w:tc>
        <w:tc>
          <w:tcPr>
            <w:tcW w:w="100" w:type="dxa"/>
            <w:vAlign w:val="bottom"/>
            <w:shd w:val="clear" w:color="auto" w:fill="CCEEFF"/>
          </w:tcPr>
          <w:p>
            <w:pPr>
              <w:spacing w:after="0"/>
              <w:rPr>
                <w:sz w:val="22"/>
                <w:szCs w:val="22"/>
                <w:color w:val="auto"/>
              </w:rPr>
            </w:pPr>
          </w:p>
        </w:tc>
        <w:tc>
          <w:tcPr>
            <w:tcW w:w="29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CURRENT POSITION HELD SINCE</w:t>
            </w:r>
          </w:p>
        </w:tc>
      </w:tr>
      <w:tr>
        <w:trPr>
          <w:trHeight w:val="249"/>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Steve Downing</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120" w:type="dxa"/>
            <w:vAlign w:val="bottom"/>
          </w:tcPr>
          <w:p>
            <w:pPr>
              <w:spacing w:after="0"/>
              <w:rPr>
                <w:sz w:val="21"/>
                <w:szCs w:val="21"/>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2940" w:type="dxa"/>
            <w:vAlign w:val="bottom"/>
          </w:tcPr>
          <w:p>
            <w:pPr>
              <w:ind w:left="20"/>
              <w:spacing w:after="0"/>
              <w:rPr>
                <w:sz w:val="20"/>
                <w:szCs w:val="20"/>
                <w:color w:val="auto"/>
              </w:rPr>
            </w:pPr>
            <w:r>
              <w:rPr>
                <w:rFonts w:ascii="Arial" w:cs="Arial" w:eastAsia="Arial" w:hAnsi="Arial"/>
                <w:sz w:val="18"/>
                <w:szCs w:val="18"/>
                <w:color w:val="auto"/>
              </w:rPr>
              <w:t>January 2018</w:t>
            </w:r>
          </w:p>
        </w:tc>
      </w:tr>
      <w:tr>
        <w:trPr>
          <w:trHeight w:val="27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Kevin Nash</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43</w:t>
            </w:r>
          </w:p>
        </w:tc>
        <w:tc>
          <w:tcPr>
            <w:tcW w:w="120" w:type="dxa"/>
            <w:vAlign w:val="bottom"/>
            <w:shd w:val="clear" w:color="auto" w:fill="CCEEFF"/>
          </w:tcPr>
          <w:p>
            <w:pPr>
              <w:spacing w:after="0"/>
              <w:rPr>
                <w:sz w:val="24"/>
                <w:szCs w:val="24"/>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2018</w:t>
            </w:r>
          </w:p>
        </w:tc>
      </w:tr>
      <w:tr>
        <w:trPr>
          <w:trHeight w:val="26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Scott Ryan</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120" w:type="dxa"/>
            <w:vAlign w:val="bottom"/>
          </w:tcPr>
          <w:p>
            <w:pPr>
              <w:spacing w:after="0"/>
              <w:rPr>
                <w:sz w:val="22"/>
                <w:szCs w:val="22"/>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Assistant General Counsel and Corporate Secretary</w:t>
            </w:r>
          </w:p>
        </w:tc>
        <w:tc>
          <w:tcPr>
            <w:tcW w:w="2940" w:type="dxa"/>
            <w:vAlign w:val="bottom"/>
          </w:tcPr>
          <w:p>
            <w:pPr>
              <w:ind w:left="20"/>
              <w:spacing w:after="0"/>
              <w:rPr>
                <w:sz w:val="20"/>
                <w:szCs w:val="20"/>
                <w:color w:val="auto"/>
              </w:rPr>
            </w:pPr>
            <w:r>
              <w:rPr>
                <w:rFonts w:ascii="Arial" w:cs="Arial" w:eastAsia="Arial" w:hAnsi="Arial"/>
                <w:sz w:val="18"/>
                <w:szCs w:val="18"/>
                <w:color w:val="auto"/>
              </w:rPr>
              <w:t>June 2015</w:t>
            </w:r>
          </w:p>
        </w:tc>
      </w:tr>
      <w:tr>
        <w:trPr>
          <w:trHeight w:val="27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Neil Boehm</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46</w:t>
            </w:r>
          </w:p>
        </w:tc>
        <w:tc>
          <w:tcPr>
            <w:tcW w:w="120" w:type="dxa"/>
            <w:vAlign w:val="bottom"/>
            <w:shd w:val="clear" w:color="auto" w:fill="CCEEFF"/>
          </w:tcPr>
          <w:p>
            <w:pPr>
              <w:spacing w:after="0"/>
              <w:rPr>
                <w:sz w:val="24"/>
                <w:szCs w:val="24"/>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Chief Technology Officer and Vice President, Engineering</w:t>
            </w: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2018</w:t>
            </w:r>
          </w:p>
        </w:tc>
      </w:tr>
      <w:tr>
        <w:trPr>
          <w:trHeight w:val="257"/>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Matthew Chiodo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20" w:type="dxa"/>
            <w:vAlign w:val="bottom"/>
          </w:tcPr>
          <w:p>
            <w:pPr>
              <w:spacing w:after="0"/>
              <w:rPr>
                <w:sz w:val="22"/>
                <w:szCs w:val="22"/>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Vice President, Sales</w:t>
            </w:r>
          </w:p>
        </w:tc>
        <w:tc>
          <w:tcPr>
            <w:tcW w:w="2940" w:type="dxa"/>
            <w:vAlign w:val="bottom"/>
          </w:tcPr>
          <w:p>
            <w:pPr>
              <w:ind w:left="20"/>
              <w:spacing w:after="0"/>
              <w:rPr>
                <w:sz w:val="20"/>
                <w:szCs w:val="20"/>
                <w:color w:val="auto"/>
              </w:rPr>
            </w:pPr>
            <w:r>
              <w:rPr>
                <w:rFonts w:ascii="Arial" w:cs="Arial" w:eastAsia="Arial" w:hAnsi="Arial"/>
                <w:sz w:val="18"/>
                <w:szCs w:val="18"/>
                <w:color w:val="auto"/>
              </w:rPr>
              <w:t>January 2017</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the officers listed in the preceding table.</w:t>
      </w:r>
    </w:p>
    <w:p>
      <w:pPr>
        <w:spacing w:after="0" w:line="90" w:lineRule="exact"/>
        <w:rPr>
          <w:sz w:val="20"/>
          <w:szCs w:val="20"/>
          <w:color w:val="auto"/>
        </w:rPr>
      </w:pPr>
    </w:p>
    <w:p>
      <w:pPr>
        <w:jc w:val="both"/>
        <w:spacing w:after="0" w:line="216" w:lineRule="exact"/>
        <w:rPr>
          <w:rFonts w:ascii="Arial" w:cs="Arial" w:eastAsia="Arial" w:hAnsi="Arial"/>
          <w:sz w:val="18"/>
          <w:szCs w:val="18"/>
          <w:color w:val="auto"/>
        </w:rPr>
      </w:pPr>
      <w:r>
        <w:rPr>
          <w:rFonts w:ascii="Arial" w:cs="Arial" w:eastAsia="Arial" w:hAnsi="Arial"/>
          <w:sz w:val="18"/>
          <w:szCs w:val="18"/>
          <w:color w:val="auto"/>
        </w:rPr>
        <w:t xml:space="preserve">Steve Downing was elected Chief Executive Officer effective as of January 1, 2018. He previously served as President and Chief Operating Officer from August 2017 to December 2017, as Senior Vice President and Chief Financial Officer from June 2015 to August 2017, as Vice President of Finance and Chief Financial Officer from May 2013 to June 2015, as Vice President of Commercial Management from July 2012 to May 2013, as Director of Commercial Management from June 2009 to July 2012, as Commercial Manager from October 2006 to June 2009, as Senior Financial Analyst from April 2006 to October 2006, and prior to that was a Financial Analyst from his hire date in July 2002 to April 2006. The terms of Mr. Downing's employment arrangement are contained herein in </w:t>
      </w:r>
      <w:hyperlink w:anchor="page32">
        <w:r>
          <w:rPr>
            <w:rFonts w:ascii="Arial" w:cs="Arial" w:eastAsia="Arial" w:hAnsi="Arial"/>
            <w:sz w:val="18"/>
            <w:szCs w:val="18"/>
            <w:u w:val="single" w:color="auto"/>
            <w:color w:val="0000EE"/>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84"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On February 21, 2018, the Company announced that Kevin Nash was appointed as the Company's Vice President, Finance, Chief Financial Officer, and Treasurer, effective as of February 15, 2018. He will remain the Company's Chief Accounting Officer. Mr. Nash was previously, the Company's Vice President of Accounting and Chief Accounting Officer, a role he has held since 2014 and served as Director of Accounting and Chief Accounting Officer before that. He has been employed by the Company since 1999, beginning as a senior accountant, progressing to accounting manager, Corporate Controller and then Director of Accounting and Chief Accounting Officer until his promotion to Vice President of Accounting and Chief Accounting Officer. The terms of Mr. Nash's employment arrangement are contained herein in </w:t>
      </w:r>
      <w:hyperlink w:anchor="page32">
        <w:r>
          <w:rPr>
            <w:rFonts w:ascii="Arial" w:cs="Arial" w:eastAsia="Arial" w:hAnsi="Arial"/>
            <w:sz w:val="18"/>
            <w:szCs w:val="18"/>
            <w:u w:val="single" w:color="auto"/>
            <w:color w:val="0000EE"/>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10-K.</w:t>
      </w:r>
    </w:p>
    <w:p>
      <w:pPr>
        <w:spacing w:after="0" w:line="207" w:lineRule="exact"/>
        <w:rPr>
          <w:sz w:val="20"/>
          <w:szCs w:val="20"/>
          <w:color w:val="auto"/>
        </w:rPr>
      </w:pPr>
    </w:p>
    <w:p>
      <w:pPr>
        <w:jc w:val="both"/>
        <w:spacing w:after="0" w:line="252" w:lineRule="auto"/>
        <w:rPr>
          <w:rFonts w:ascii="Arial" w:cs="Arial" w:eastAsia="Arial" w:hAnsi="Arial"/>
          <w:sz w:val="18"/>
          <w:szCs w:val="18"/>
          <w:color w:val="0000EE"/>
        </w:rPr>
      </w:pPr>
      <w:r>
        <w:rPr>
          <w:rFonts w:ascii="Arial" w:cs="Arial" w:eastAsia="Arial" w:hAnsi="Arial"/>
          <w:sz w:val="18"/>
          <w:szCs w:val="18"/>
          <w:color w:val="auto"/>
        </w:rPr>
        <w:t xml:space="preserve">Also on February 21, 2018, the Company announced that Neil Boehm was appointed as the Company's Vice President, Engineering and Chief Technology Officer as of February 15, 2018 and was also appointed an executive officer. Mr. Boehm was previously the Company's Vice President of Engineering, a role he has held since 2015 and previously served as Senior Director of Engineering. He has been employed by the Company since 2001, beginning as a program manager, progressing to Director of Electrical Engineering, and then Senior Director of Engineering until his promotion to Vice President of Engineering. The terms of Mr. Boehm's employment arrangement are contained herein in </w:t>
      </w:r>
      <w:hyperlink w:anchor="page32">
        <w:r>
          <w:rPr>
            <w:rFonts w:ascii="Arial" w:cs="Arial" w:eastAsia="Arial" w:hAnsi="Arial"/>
            <w:sz w:val="18"/>
            <w:szCs w:val="18"/>
            <w:u w:val="single" w:color="auto"/>
            <w:color w:val="0000EE"/>
          </w:rPr>
          <w:t>Part III, Item 11</w:t>
        </w:r>
        <w:r>
          <w:rPr>
            <w:rFonts w:ascii="Arial" w:cs="Arial" w:eastAsia="Arial" w:hAnsi="Arial"/>
            <w:sz w:val="18"/>
            <w:szCs w:val="18"/>
            <w:color w:val="0000EE"/>
          </w:rPr>
          <w:t xml:space="preserve">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this Form 10-K.</w:t>
      </w:r>
    </w:p>
    <w:p>
      <w:pPr>
        <w:spacing w:after="0" w:line="209"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Also on February 21, 2018, the Company announced that Matthew Chiodo, the Company's Vice President of Sales, was appointed an executive officer effective February 15, 2018. Mr. Chiodo has been in his current role since January 2017 and previously served as Director of Sales. He has been employed by the Company since 2001, beginning in sales, progressing to Director of Sales until his promotion to Vice President of Sales. The terms of Mr. Chiodo's employment arrangement are contained herein in </w:t>
      </w:r>
      <w:hyperlink w:anchor="page32">
        <w:r>
          <w:rPr>
            <w:rFonts w:ascii="Arial" w:cs="Arial" w:eastAsia="Arial" w:hAnsi="Arial"/>
            <w:sz w:val="18"/>
            <w:szCs w:val="18"/>
            <w:u w:val="single" w:color="auto"/>
            <w:color w:val="0000EE"/>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10-K.</w:t>
      </w:r>
    </w:p>
    <w:p>
      <w:pPr>
        <w:spacing w:after="0" w:line="204"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Scott Ryan was elected Assistant General Counsel and Corporate Secretary on June 18, 2015 and became an executive officer on August 20, 2015. He previously served as Patent Counsel from November 2013 to June 2015 and prior to that was a Patent Attorney from his hire date in December 2010 to November 2013. The terms of Mr. Ryan's employment arrangement are contained herein in </w:t>
      </w:r>
      <w:hyperlink w:anchor="page32">
        <w:r>
          <w:rPr>
            <w:rFonts w:ascii="Arial" w:cs="Arial" w:eastAsia="Arial" w:hAnsi="Arial"/>
            <w:sz w:val="18"/>
            <w:szCs w:val="18"/>
            <w:u w:val="single" w:color="auto"/>
            <w:color w:val="0000EE"/>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10-K.</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February 15, 2018, Joseph Matthews is no longer any executive officer of the Company, but remains employed as Vice President, Purchasing.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92" w:right="239" w:bottom="1440" w:gutter="0" w:footer="0" w:header="0"/>
        </w:sectPr>
      </w:pPr>
    </w:p>
    <w:bookmarkStart w:id="30" w:name="page31"/>
    <w:bookmarkEnd w:id="30"/>
    <w:p>
      <w:pPr>
        <w:jc w:val="both"/>
        <w:spacing w:after="0" w:line="252" w:lineRule="auto"/>
        <w:rPr>
          <w:sz w:val="20"/>
          <w:szCs w:val="20"/>
          <w:color w:val="auto"/>
        </w:rPr>
      </w:pPr>
      <w:r>
        <w:rPr>
          <w:rFonts w:ascii="Arial" w:cs="Arial" w:eastAsia="Arial" w:hAnsi="Arial"/>
          <w:sz w:val="18"/>
          <w:szCs w:val="18"/>
          <w:color w:val="auto"/>
        </w:rPr>
        <w:t>Information relating to directors appearing under the caption “Election of Directors” in the definitive Proxy Statement for 2018 Annual Meeting of Shareholders and filed with the Commission within 120 days after the Company’s fiscal year end, December 31, 2017 (the “Proxy Statement”), is hereby incorporated herein by reference. No changes were made to the procedures by which shareholders may recommend nominees for the Board of Directors. Information concerning compliance with Section 16(a) of the Securities and Exchange Act of 1934 appearing under the caption “Section 16(A) Beneficial Ownership Reporting Compliance” in the definitive Proxy Statement is hereby incorporated herein by reference. Information relating to the Company’s Audit Committee and concerning whether at least one member of the Audit Committee is an “audit committee financial expert” as that term is defined under Item 407(d)(5) of Regulation S-K appearing under the caption “Corporate Governance – Audit Committee” in the definitive Proxy Statement is hereby incorporated herein by reference.</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adopted a Code of Ethics for Certain Senior Officers that applies to its principal executive officer, principal financial officer, and principal accounting officer as well as all other officers of the Corporation. A copy of the Code of Ethics for Certain Senior Officers is available without charge, upon written request, from the Corporate Secretary of the Company, 600 N. Centennial Street, Zeeland, Michigan 49464 and the Company's website.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98" w:right="239" w:bottom="1440" w:gutter="0" w:footer="0" w:header="0"/>
        </w:sectPr>
      </w:pPr>
    </w:p>
    <w:bookmarkStart w:id="31" w:name="page32"/>
    <w:bookmarkEnd w:id="31"/>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contained under the caption “Compensation Committee Report,” “Compensation Discussion and Analysis,” “Executive Compensation,” “Director Compensation,” and “Compensation Committee Interlocks and Insider Participation” contained in the definitive Proxy Statement is hereby incorporated herein by reference. The “Compensation Committee Report” shall not be deemed to be soliciting material or to be filed with the commission.</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Board of Directors previously adopted the Gentex Corporation Performance-Based Bonus Plan (the "Performance Plan") that pays an Additional Profit-Sharing Bonus and a Performance Bonus based on the achievement of certain targets. The Additional Profit-Sharing Bonus available to participants, including executive officers, allowed each participant in 2017 to receive a thirteen percent (13%) increase in the Profit-Sharing Bonus percentage (on a weighted average basis) that was used to calculate the Profit-Sharing Bonuses paid to all employees for such year (without regard to the Performance Plan) for each one percent (1%) by which net sales in such year exceed net sales in the prior year. The Performance Bonus available to participants in the Performance Plan is based on the achievement of these performance metrics: EBITDA; Diluted Earnings per Share; and Quality, each weighted equally.</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2017, net sales exceeded net sales in 2016 by 7%, making each executive officer and other participants eligible for an Additional Profit-Sharing Bonus. In addition, each executive officer was eligible for a Performance Bonus because each of the targets for the performance metrics (EBITDA, Diluted Earnings Per Share, and Quality) was exceeded as set forth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000" w:type="dxa"/>
            <w:vAlign w:val="bottom"/>
          </w:tcPr>
          <w:p>
            <w:pPr>
              <w:jc w:val="center"/>
              <w:ind w:left="797"/>
              <w:spacing w:after="0"/>
              <w:rPr>
                <w:sz w:val="20"/>
                <w:szCs w:val="20"/>
                <w:color w:val="auto"/>
              </w:rPr>
            </w:pPr>
            <w:r>
              <w:rPr>
                <w:rFonts w:ascii="Arial" w:cs="Arial" w:eastAsia="Arial" w:hAnsi="Arial"/>
                <w:sz w:val="14"/>
                <w:szCs w:val="14"/>
                <w:b w:val="1"/>
                <w:bCs w:val="1"/>
                <w:color w:val="auto"/>
              </w:rPr>
              <w:t>Weighting</w:t>
            </w: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96"/>
        </w:trPr>
        <w:tc>
          <w:tcPr>
            <w:tcW w:w="446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Performance Metric</w:t>
            </w:r>
          </w:p>
        </w:tc>
        <w:tc>
          <w:tcPr>
            <w:tcW w:w="2000" w:type="dxa"/>
            <w:vAlign w:val="bottom"/>
            <w:tcBorders>
              <w:bottom w:val="single" w:sz="8" w:color="auto"/>
            </w:tcBorders>
          </w:tcPr>
          <w:p>
            <w:pPr>
              <w:jc w:val="center"/>
              <w:ind w:left="797"/>
              <w:spacing w:after="0"/>
              <w:rPr>
                <w:sz w:val="20"/>
                <w:szCs w:val="20"/>
                <w:color w:val="auto"/>
              </w:rPr>
            </w:pPr>
            <w:r>
              <w:rPr>
                <w:rFonts w:ascii="Arial" w:cs="Arial" w:eastAsia="Arial" w:hAnsi="Arial"/>
                <w:sz w:val="14"/>
                <w:szCs w:val="14"/>
                <w:b w:val="1"/>
                <w:bCs w:val="1"/>
                <w:color w:val="auto"/>
              </w:rPr>
              <w:t>Factor</w:t>
            </w: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Threshold</w:t>
            </w:r>
          </w:p>
        </w:tc>
        <w:tc>
          <w:tcPr>
            <w:tcW w:w="14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Target</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Actual Result</w:t>
            </w:r>
          </w:p>
        </w:tc>
      </w:tr>
      <w:tr>
        <w:trPr>
          <w:trHeight w:val="256"/>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00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5"/>
              </w:rPr>
              <w:t>1/3</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540,297,328</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636,350,187</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622,929,260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2000" w:type="dxa"/>
            <w:vAlign w:val="bottom"/>
          </w:tcPr>
          <w:p>
            <w:pPr>
              <w:jc w:val="center"/>
              <w:ind w:left="797"/>
              <w:spacing w:after="0"/>
              <w:rPr>
                <w:sz w:val="20"/>
                <w:szCs w:val="20"/>
                <w:color w:val="auto"/>
              </w:rPr>
            </w:pPr>
            <w:r>
              <w:rPr>
                <w:rFonts w:ascii="Arial" w:cs="Arial" w:eastAsia="Arial" w:hAnsi="Arial"/>
                <w:sz w:val="18"/>
                <w:szCs w:val="18"/>
                <w:color w:val="auto"/>
                <w:w w:val="95"/>
              </w:rPr>
              <w:t>1/3</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$1.07</w:t>
            </w:r>
          </w:p>
        </w:tc>
        <w:tc>
          <w:tcPr>
            <w:tcW w:w="1480" w:type="dxa"/>
            <w:vAlign w:val="bottom"/>
          </w:tcPr>
          <w:p>
            <w:pPr>
              <w:jc w:val="center"/>
              <w:spacing w:after="0"/>
              <w:rPr>
                <w:sz w:val="20"/>
                <w:szCs w:val="20"/>
                <w:color w:val="auto"/>
              </w:rPr>
            </w:pPr>
            <w:r>
              <w:rPr>
                <w:rFonts w:ascii="Arial" w:cs="Arial" w:eastAsia="Arial" w:hAnsi="Arial"/>
                <w:sz w:val="18"/>
                <w:szCs w:val="18"/>
                <w:color w:val="auto"/>
              </w:rPr>
              <w:t>$1.26</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$1.41 per share</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Quality</w:t>
            </w:r>
          </w:p>
        </w:tc>
        <w:tc>
          <w:tcPr>
            <w:tcW w:w="2000" w:type="dxa"/>
            <w:vAlign w:val="bottom"/>
          </w:tcPr>
          <w:p>
            <w:pPr>
              <w:jc w:val="center"/>
              <w:ind w:left="797"/>
              <w:spacing w:after="0"/>
              <w:rPr>
                <w:sz w:val="20"/>
                <w:szCs w:val="20"/>
                <w:color w:val="auto"/>
              </w:rPr>
            </w:pPr>
            <w:r>
              <w:rPr>
                <w:rFonts w:ascii="Arial" w:cs="Arial" w:eastAsia="Arial" w:hAnsi="Arial"/>
                <w:sz w:val="18"/>
                <w:szCs w:val="18"/>
                <w:color w:val="auto"/>
                <w:w w:val="95"/>
              </w:rPr>
              <w:t>1/3</w:t>
            </w: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40" w:type="dxa"/>
            <w:vAlign w:val="bottom"/>
          </w:tcPr>
          <w:p>
            <w:pPr>
              <w:jc w:val="center"/>
              <w:spacing w:after="0"/>
              <w:rPr>
                <w:sz w:val="20"/>
                <w:szCs w:val="20"/>
                <w:color w:val="auto"/>
              </w:rPr>
            </w:pPr>
            <w:r>
              <w:rPr>
                <w:rFonts w:ascii="Arial" w:cs="Arial" w:eastAsia="Arial" w:hAnsi="Arial"/>
                <w:sz w:val="18"/>
                <w:szCs w:val="18"/>
                <w:color w:val="auto"/>
                <w:w w:val="97"/>
              </w:rPr>
              <w:t>In excess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Quality thresholds and targets are a non-variable calculation based on parts per million (PPM) plus over-all corporate cost of quality.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Compensation Committee and the Board of Directors exercised available discretion under the Performance Plan to increase such bonuses as authorized in the Performance Plan, based on the criteria established in accordance with the Performance Plan.</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2017, the following bonuses were earned by the executive officers under the Plan, including bonuses as indicated for personal goal achievement, all of which were approved by the Board of Directors on February 15, 2018.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Performance-Based Bonus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Earned Bonuses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jc w:val="right"/>
              <w:ind w:right="94"/>
              <w:spacing w:after="0"/>
              <w:rPr>
                <w:sz w:val="20"/>
                <w:szCs w:val="20"/>
                <w:color w:val="auto"/>
              </w:rPr>
            </w:pPr>
            <w:r>
              <w:rPr>
                <w:rFonts w:ascii="Arial" w:cs="Arial" w:eastAsia="Arial" w:hAnsi="Arial"/>
                <w:sz w:val="14"/>
                <w:szCs w:val="14"/>
                <w:b w:val="1"/>
                <w:bCs w:val="1"/>
                <w:color w:val="auto"/>
              </w:rPr>
              <w:t>Additional Profit-</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Personal Goal</w:t>
            </w:r>
          </w:p>
        </w:tc>
      </w:tr>
      <w:tr>
        <w:trPr>
          <w:trHeight w:val="196"/>
        </w:trPr>
        <w:tc>
          <w:tcPr>
            <w:tcW w:w="590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Executive Officer</w:t>
            </w:r>
          </w:p>
        </w:tc>
        <w:tc>
          <w:tcPr>
            <w:tcW w:w="8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Sharing Bonus</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Performance Bonus*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Achievement</w:t>
            </w:r>
          </w:p>
        </w:tc>
      </w:tr>
      <w:tr>
        <w:trPr>
          <w:trHeight w:val="256"/>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 Downing, President and CEO</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70,299</w:t>
            </w:r>
          </w:p>
        </w:tc>
        <w:tc>
          <w:tcPr>
            <w:tcW w:w="5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98,989</w:t>
            </w:r>
          </w:p>
        </w:tc>
      </w:tr>
      <w:tr>
        <w:trPr>
          <w:trHeight w:val="250"/>
        </w:trPr>
        <w:tc>
          <w:tcPr>
            <w:tcW w:w="5900" w:type="dxa"/>
            <w:vAlign w:val="bottom"/>
          </w:tcPr>
          <w:p>
            <w:pPr>
              <w:ind w:left="40"/>
              <w:spacing w:after="0"/>
              <w:rPr>
                <w:sz w:val="20"/>
                <w:szCs w:val="20"/>
                <w:color w:val="auto"/>
              </w:rPr>
            </w:pPr>
            <w:r>
              <w:rPr>
                <w:rFonts w:ascii="Arial" w:cs="Arial" w:eastAsia="Arial" w:hAnsi="Arial"/>
                <w:sz w:val="18"/>
                <w:szCs w:val="18"/>
                <w:color w:val="auto"/>
              </w:rPr>
              <w:t>Kevin Nash, VP, Finance, CFO and Treasurer</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37,275</w:t>
            </w:r>
          </w:p>
        </w:tc>
        <w:tc>
          <w:tcPr>
            <w:tcW w:w="5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27,039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59,678</w:t>
            </w:r>
          </w:p>
        </w:tc>
      </w:tr>
      <w:tr>
        <w:trPr>
          <w:trHeight w:val="26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Scott Ryan, Assistant General Counsel and Corporate Secretary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39,334</w:t>
            </w:r>
          </w:p>
        </w:tc>
        <w:tc>
          <w:tcPr>
            <w:tcW w:w="5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40,369</w:t>
            </w:r>
          </w:p>
        </w:tc>
      </w:tr>
      <w:tr>
        <w:trPr>
          <w:trHeight w:val="250"/>
        </w:trPr>
        <w:tc>
          <w:tcPr>
            <w:tcW w:w="5900" w:type="dxa"/>
            <w:vAlign w:val="bottom"/>
          </w:tcPr>
          <w:p>
            <w:pPr>
              <w:ind w:left="40"/>
              <w:spacing w:after="0"/>
              <w:rPr>
                <w:sz w:val="20"/>
                <w:szCs w:val="20"/>
                <w:color w:val="auto"/>
              </w:rPr>
            </w:pPr>
            <w:r>
              <w:rPr>
                <w:rFonts w:ascii="Arial" w:cs="Arial" w:eastAsia="Arial" w:hAnsi="Arial"/>
                <w:sz w:val="18"/>
                <w:szCs w:val="18"/>
                <w:color w:val="auto"/>
              </w:rPr>
              <w:t>Neil Boehm, VP, Engineering and CTO</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38,658</w:t>
            </w:r>
          </w:p>
        </w:tc>
        <w:tc>
          <w:tcPr>
            <w:tcW w:w="5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27,878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61,871</w:t>
            </w:r>
          </w:p>
        </w:tc>
      </w:tr>
      <w:tr>
        <w:trPr>
          <w:trHeight w:val="26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Matt Chiodo, VP, Sales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39,105</w:t>
            </w:r>
          </w:p>
        </w:tc>
        <w:tc>
          <w:tcPr>
            <w:tcW w:w="5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63,115</w:t>
            </w:r>
          </w:p>
        </w:tc>
      </w:tr>
      <w:tr>
        <w:trPr>
          <w:trHeight w:val="250"/>
        </w:trPr>
        <w:tc>
          <w:tcPr>
            <w:tcW w:w="5900" w:type="dxa"/>
            <w:vAlign w:val="bottom"/>
          </w:tcPr>
          <w:p>
            <w:pPr>
              <w:ind w:left="40"/>
              <w:spacing w:after="0"/>
              <w:rPr>
                <w:sz w:val="20"/>
                <w:szCs w:val="20"/>
                <w:color w:val="auto"/>
              </w:rPr>
            </w:pPr>
            <w:r>
              <w:rPr>
                <w:rFonts w:ascii="Arial" w:cs="Arial" w:eastAsia="Arial" w:hAnsi="Arial"/>
                <w:sz w:val="18"/>
                <w:szCs w:val="18"/>
                <w:color w:val="auto"/>
              </w:rPr>
              <w:t>Fred Bauer, Former CEO</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91,619</w:t>
            </w:r>
          </w:p>
        </w:tc>
        <w:tc>
          <w:tcPr>
            <w:tcW w:w="5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66,328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Joseph Matthews, VP, Purchasing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28,488</w:t>
            </w:r>
          </w:p>
        </w:tc>
        <w:tc>
          <w:tcPr>
            <w:tcW w:w="5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22,478</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*Includes discretionary increases authorized by the Board of Directors in accordance with the terms of the Performance Plan.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the above Performance Plan payments, the Board of Directors approved bonuses for personal goal achievement disclosed in the aforementioned table on February 15, 2018.</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76" w:right="239" w:bottom="1440" w:gutter="0" w:footer="0" w:header="0"/>
        </w:sectPr>
      </w:pPr>
    </w:p>
    <w:bookmarkStart w:id="32" w:name="page33"/>
    <w:bookmarkEnd w:id="32"/>
    <w:p>
      <w:pPr>
        <w:jc w:val="both"/>
        <w:spacing w:after="0" w:line="256" w:lineRule="auto"/>
        <w:rPr>
          <w:sz w:val="20"/>
          <w:szCs w:val="20"/>
          <w:color w:val="auto"/>
        </w:rPr>
      </w:pPr>
      <w:r>
        <w:rPr>
          <w:rFonts w:ascii="Arial" w:cs="Arial" w:eastAsia="Arial" w:hAnsi="Arial"/>
          <w:sz w:val="18"/>
          <w:szCs w:val="18"/>
          <w:color w:val="auto"/>
        </w:rPr>
        <w:t>On February 15, 2018, the board of directors, in connection with reviews of executive officers and certain officer appointments, increases in responsibility, and/or personal performance, made the following changes to named executive officer compensation, including changes to base salary, stock option grants, and restricted share awards, setforth herein: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jc w:val="right"/>
              <w:ind w:right="195"/>
              <w:spacing w:after="0"/>
              <w:rPr>
                <w:sz w:val="20"/>
                <w:szCs w:val="20"/>
                <w:color w:val="auto"/>
              </w:rPr>
            </w:pPr>
            <w:r>
              <w:rPr>
                <w:rFonts w:ascii="Arial" w:cs="Arial" w:eastAsia="Arial" w:hAnsi="Arial"/>
                <w:sz w:val="14"/>
                <w:szCs w:val="14"/>
                <w:b w:val="1"/>
                <w:bCs w:val="1"/>
                <w:color w:val="auto"/>
              </w:rPr>
              <w:t>Stock Option</w:t>
            </w:r>
          </w:p>
        </w:tc>
        <w:tc>
          <w:tcPr>
            <w:tcW w:w="1520" w:type="dxa"/>
            <w:vAlign w:val="bottom"/>
          </w:tcPr>
          <w:p>
            <w:pPr>
              <w:jc w:val="right"/>
              <w:ind w:right="135"/>
              <w:spacing w:after="0"/>
              <w:rPr>
                <w:sz w:val="20"/>
                <w:szCs w:val="20"/>
                <w:color w:val="auto"/>
              </w:rPr>
            </w:pPr>
            <w:r>
              <w:rPr>
                <w:rFonts w:ascii="Arial" w:cs="Arial" w:eastAsia="Arial" w:hAnsi="Arial"/>
                <w:sz w:val="14"/>
                <w:szCs w:val="14"/>
                <w:b w:val="1"/>
                <w:bCs w:val="1"/>
                <w:color w:val="auto"/>
              </w:rPr>
              <w:t>Restricted Share</w:t>
            </w:r>
          </w:p>
        </w:tc>
      </w:tr>
      <w:tr>
        <w:trPr>
          <w:trHeight w:val="196"/>
        </w:trPr>
        <w:tc>
          <w:tcPr>
            <w:tcW w:w="17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Executive Officer</w:t>
            </w:r>
          </w:p>
        </w:tc>
        <w:tc>
          <w:tcPr>
            <w:tcW w:w="448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Position</w:t>
            </w:r>
          </w:p>
        </w:tc>
        <w:tc>
          <w:tcPr>
            <w:tcW w:w="1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Base Salary</w:t>
            </w: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Grant</w:t>
            </w:r>
          </w:p>
        </w:tc>
        <w:tc>
          <w:tcPr>
            <w:tcW w:w="15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Award</w:t>
            </w:r>
          </w:p>
        </w:tc>
      </w:tr>
      <w:tr>
        <w:trPr>
          <w:trHeight w:val="256"/>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 Downing</w:t>
            </w: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CEO</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650,000</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101,000</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68,040</w:t>
            </w:r>
          </w:p>
        </w:tc>
      </w:tr>
      <w:tr>
        <w:trPr>
          <w:trHeight w:val="250"/>
        </w:trPr>
        <w:tc>
          <w:tcPr>
            <w:tcW w:w="1780" w:type="dxa"/>
            <w:vAlign w:val="bottom"/>
          </w:tcPr>
          <w:p>
            <w:pPr>
              <w:ind w:left="40"/>
              <w:spacing w:after="0"/>
              <w:rPr>
                <w:sz w:val="20"/>
                <w:szCs w:val="20"/>
                <w:color w:val="auto"/>
              </w:rPr>
            </w:pPr>
            <w:r>
              <w:rPr>
                <w:rFonts w:ascii="Arial" w:cs="Arial" w:eastAsia="Arial" w:hAnsi="Arial"/>
                <w:sz w:val="18"/>
                <w:szCs w:val="18"/>
                <w:color w:val="auto"/>
              </w:rPr>
              <w:t>Kevin Nash</w:t>
            </w:r>
          </w:p>
        </w:tc>
        <w:tc>
          <w:tcPr>
            <w:tcW w:w="4480" w:type="dxa"/>
            <w:vAlign w:val="bottom"/>
          </w:tcPr>
          <w:p>
            <w:pPr>
              <w:ind w:left="200"/>
              <w:spacing w:after="0"/>
              <w:rPr>
                <w:sz w:val="20"/>
                <w:szCs w:val="20"/>
                <w:color w:val="auto"/>
              </w:rPr>
            </w:pPr>
            <w:r>
              <w:rPr>
                <w:rFonts w:ascii="Arial" w:cs="Arial" w:eastAsia="Arial" w:hAnsi="Arial"/>
                <w:sz w:val="18"/>
                <w:szCs w:val="18"/>
                <w:color w:val="auto"/>
              </w:rPr>
              <w:t>VP, Finance, CFO and Treasurer</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340,000</w:t>
            </w: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27,000</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8,000</w:t>
            </w:r>
          </w:p>
        </w:tc>
      </w:tr>
      <w:tr>
        <w:trPr>
          <w:trHeight w:val="263"/>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Neil Boehm</w:t>
            </w: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VP, Engineering and CTO</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333,000</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30,000</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8,000</w:t>
            </w:r>
          </w:p>
        </w:tc>
      </w:tr>
      <w:tr>
        <w:trPr>
          <w:trHeight w:val="250"/>
        </w:trPr>
        <w:tc>
          <w:tcPr>
            <w:tcW w:w="1780" w:type="dxa"/>
            <w:vAlign w:val="bottom"/>
          </w:tcPr>
          <w:p>
            <w:pPr>
              <w:ind w:left="40"/>
              <w:spacing w:after="0"/>
              <w:rPr>
                <w:sz w:val="20"/>
                <w:szCs w:val="20"/>
                <w:color w:val="auto"/>
              </w:rPr>
            </w:pPr>
            <w:r>
              <w:rPr>
                <w:rFonts w:ascii="Arial" w:cs="Arial" w:eastAsia="Arial" w:hAnsi="Arial"/>
                <w:sz w:val="18"/>
                <w:szCs w:val="18"/>
                <w:color w:val="auto"/>
              </w:rPr>
              <w:t>Matt Chiodo</w:t>
            </w:r>
          </w:p>
        </w:tc>
        <w:tc>
          <w:tcPr>
            <w:tcW w:w="4480" w:type="dxa"/>
            <w:vAlign w:val="bottom"/>
          </w:tcPr>
          <w:p>
            <w:pPr>
              <w:ind w:left="200"/>
              <w:spacing w:after="0"/>
              <w:rPr>
                <w:sz w:val="20"/>
                <w:szCs w:val="20"/>
                <w:color w:val="auto"/>
              </w:rPr>
            </w:pPr>
            <w:r>
              <w:rPr>
                <w:rFonts w:ascii="Arial" w:cs="Arial" w:eastAsia="Arial" w:hAnsi="Arial"/>
                <w:sz w:val="18"/>
                <w:szCs w:val="18"/>
                <w:color w:val="auto"/>
              </w:rPr>
              <w:t>VP, Sales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336,000</w:t>
            </w: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30,000</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8,000</w:t>
            </w:r>
          </w:p>
        </w:tc>
      </w:tr>
      <w:tr>
        <w:trPr>
          <w:trHeight w:val="263"/>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Scott Ryan</w:t>
            </w: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Assistant General Counsel and Secretary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315,000</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25,000</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8,000</w:t>
            </w:r>
          </w:p>
        </w:tc>
      </w:tr>
    </w:tbl>
    <w:p>
      <w:pPr>
        <w:spacing w:after="0" w:line="21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Stock option grants and restricted stock awards were approved pursuant to the Company's shareholder approved Employee Stock Option Plan and shareholder approved Second Restated Stock Plan, respectively. The stock option grants are ten-year options that become exercisable, as long as employment with the Company continues for 25% of such shares on each anniversary of the grant date commencing with the first anniversary of the grant date. The exercise price is the closing price of the stock on the grant date set forth above. The restricted stock awards vest at the fourth anniversary of the grant, except 37,000 shares of restricted stock granted in recognition of Steve Downing's promotion to President and CEO, which vest at the fifth anniversary of the grant.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Each of the named executive officers continue to be at-will employees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Gentex Annual Incentive Performance-Based Bonus Plan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15, 2018, the Board of Directors amended and restated the Gentex Corporation Performance-Based Bonus Plan as the Amended and Restated Annual Incentive Performance-Based Bonus Plan ("the Plan") to: further emphasize performance-based compensation; provide executive officers, officers, and other key employees of the Corporation with appropriate incentives concerning corporate and individual performance; and enhance the alignment between such key employees and shareholders. The Plan is administered by the Compensation Committee of the Board, which has discretion to determine the executive officers, officers, and other employees eligible to participate in the Plan. Only employees of the Corporation are eligible to participate in the Plan.</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Annual Performance Bonus - in lieu of participating in the Profit Sharing Bonuses paid to all employees, annual performance bonuses are available to participants based on the achievement of the following performance metrics:</w:t>
      </w:r>
    </w:p>
    <w:p>
      <w:pPr>
        <w:spacing w:after="0" w:line="196" w:lineRule="exact"/>
        <w:rPr>
          <w:sz w:val="20"/>
          <w:szCs w:val="20"/>
          <w:color w:val="auto"/>
        </w:rPr>
      </w:pPr>
    </w:p>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which will have a 33.33% weighting;</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Income, which will have a 33.33% weighting;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Per Diluted Share, which will have a 33.33% weighting.</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purposes of determining annual performance bonuses, the Compensation Committee will annually establish a threshold, target and maximum for each applicable performance metric, along with incentive ratios applicable to each Participant with respect to such threshold, target, and maximum. The applicable incentive ratio is a percentage of base pay for each Participant, designated by the Compensation Committee, which is then multiplied by the weighting factor of a particular performance metric to determine the amount of a performance bonus payable to a Participant to the extent the threshold, target, or maximum for a performance metrics is met or exceeded. To the extent performance exceeds the established threshold or target, as applicable, for any performance metric, but does not meet the established target or maximum, as applicable, a pro rata portion of the potential bonus payable will be paid as a performance bonus (based on the percentage of the target or maximum, as applicable, achieved in excess of the threshold or target, as applicable). Calculations of performance bonuses will be determined using linear interpolation for performance between threshold and target and between target and maximum. The annual performance bonus is cash-based and intended to motivate and reward employees based on Company and individual performance metrics that drive shareholder value.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33" w:right="239" w:bottom="1440" w:gutter="0" w:footer="0" w:header="0"/>
        </w:sectPr>
      </w:pPr>
    </w:p>
    <w:bookmarkStart w:id="33" w:name="page34"/>
    <w:bookmarkEnd w:id="33"/>
    <w:p>
      <w:pPr>
        <w:jc w:val="both"/>
        <w:spacing w:after="0" w:line="256" w:lineRule="auto"/>
        <w:rPr>
          <w:sz w:val="20"/>
          <w:szCs w:val="20"/>
          <w:color w:val="auto"/>
        </w:rPr>
      </w:pPr>
      <w:r>
        <w:rPr>
          <w:rFonts w:ascii="Arial" w:cs="Arial" w:eastAsia="Arial" w:hAnsi="Arial"/>
          <w:sz w:val="18"/>
          <w:szCs w:val="18"/>
          <w:color w:val="auto"/>
        </w:rPr>
        <w:t>Notwithstanding the foregoing, based on any criteria it establishes in its discretion, the Committee reserves the right to increase (or decrease) a performance bonus for personal goal achievement in an amount so as not to in any event exceed 250% of base compensation. Any and all bonuses under the Plan are payable in accordance with policies and procedures established by the Compensation Committee.</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2018, the Compensation Committee has established incentive ratios of twenty five percent (25%) upon achievement of the threshold and up to one hundred percent (100%) for the CEO and seventy-five percent (75%) for the other named executive officers for achievement of performance in excess of the threshold up to the target, plus incentive ratios of zero percent (0%) to one hundred percent (100%) for the CEO and seventy five percent (75%) for the named executive officers for the achievement of performance in excess of target up to the maximum. At its February 2018 meeting, the Compensation Committee also established thresholds, targets, and maximums for the Revenue, Operating Income, and Earnings Per Diluted Share performance metrics.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Compensation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For 2018, the Board of Directors adjusted the annual compensation of directors who are not employees as follows:</w:t>
      </w:r>
    </w:p>
    <w:p>
      <w:pPr>
        <w:spacing w:after="0" w:line="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retainer - $80,000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Chair of the board retainer - $75,000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Committee Chair retainer - $12,500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Committee Chair retainer - $10,000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Nominating and Corporate Governance Committee Chair retainer - $10,000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Committee Member retainer (non-chair) - $7.500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Committee Member retainer (non-chair) - $5,000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(non-chair) - $5.000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said amounts are payable quarterly.</w:t>
      </w:r>
    </w:p>
    <w:p>
      <w:pPr>
        <w:spacing w:after="0" w:line="200" w:lineRule="exact"/>
        <w:rPr>
          <w:sz w:val="20"/>
          <w:szCs w:val="20"/>
          <w:color w:val="auto"/>
        </w:rPr>
      </w:pP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contained under the captions “Common Stock Ownership of Management,” “Common Stock Ownership of Certain Beneficial Owners,” and “Equity Compensation Plan Summary” contained in the definitive Proxy Statement is hereby incorporated herein by reference. There are no arrangements known to the registrant, the operation of which may at a subsequent date result in a change in control.</w:t>
      </w:r>
    </w:p>
    <w:p>
      <w:pPr>
        <w:spacing w:after="0" w:line="34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contained under the caption “Certain Transactions” contained in the definitive Proxy Statement is hereby incorporated herein by reference. The information contained under the caption “Election of Directors” contained in the definitive Proxy Statement hereby incorporated herein by reference.</w:t>
      </w:r>
    </w:p>
    <w:p>
      <w:pPr>
        <w:spacing w:after="0" w:line="34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 and Services.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regarding principal accounting fees and services set forth under the caption “Ratification of Appointment of Independent Auditors –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herein by reference.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98" w:right="239" w:bottom="1440" w:gutter="0" w:footer="0" w:header="0"/>
        </w:sectPr>
      </w:pPr>
    </w:p>
    <w:bookmarkStart w:id="34" w:name="page35"/>
    <w:bookmarkEnd w:id="34"/>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193" w:lineRule="exact"/>
        <w:rPr>
          <w:sz w:val="20"/>
          <w:szCs w:val="20"/>
          <w:color w:val="auto"/>
        </w:rPr>
      </w:pPr>
    </w:p>
    <w:p>
      <w:pPr>
        <w:ind w:left="1960" w:hanging="980"/>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1. </w:t>
      </w:r>
      <w:hyperlink w:anchor="page28">
        <w:r>
          <w:rPr>
            <w:rFonts w:ascii="Arial" w:cs="Arial" w:eastAsia="Arial" w:hAnsi="Arial"/>
            <w:sz w:val="18"/>
            <w:szCs w:val="18"/>
            <w:u w:val="single" w:color="auto"/>
            <w:color w:val="0000EE"/>
          </w:rPr>
          <w:t>Financial Statements. See Part II, Item 8.</w:t>
        </w:r>
      </w:hyperlink>
    </w:p>
    <w:p>
      <w:pPr>
        <w:spacing w:after="0" w:line="144" w:lineRule="exact"/>
        <w:rPr>
          <w:rFonts w:ascii="Arial" w:cs="Arial" w:eastAsia="Arial" w:hAnsi="Arial"/>
          <w:sz w:val="18"/>
          <w:szCs w:val="18"/>
          <w:color w:val="auto"/>
        </w:rPr>
      </w:pPr>
    </w:p>
    <w:p>
      <w:pPr>
        <w:ind w:left="1940" w:right="2919" w:hanging="68"/>
        <w:spacing w:after="0" w:line="449" w:lineRule="auto"/>
        <w:tabs>
          <w:tab w:leader="none" w:pos="2063"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Financial Statements Schedules. None required or not applicable. 3. Exhibits. See Exhibit Index on Page </w:t>
      </w:r>
      <w:hyperlink w:anchor="page68">
        <w:r>
          <w:rPr>
            <w:rFonts w:ascii="Arial" w:cs="Arial" w:eastAsia="Arial" w:hAnsi="Arial"/>
            <w:sz w:val="18"/>
            <w:szCs w:val="18"/>
            <w:u w:val="single" w:color="auto"/>
            <w:color w:val="0000EE"/>
          </w:rPr>
          <w:t>67</w:t>
        </w:r>
      </w:hyperlink>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960" w:hanging="980"/>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(a) above.</w:t>
      </w:r>
    </w:p>
    <w:p>
      <w:pPr>
        <w:spacing w:after="0" w:line="9" w:lineRule="exact"/>
        <w:rPr>
          <w:rFonts w:ascii="Arial" w:cs="Arial" w:eastAsia="Arial" w:hAnsi="Arial"/>
          <w:sz w:val="18"/>
          <w:szCs w:val="18"/>
          <w:color w:val="auto"/>
        </w:rPr>
      </w:pPr>
    </w:p>
    <w:p>
      <w:pPr>
        <w:ind w:left="1960" w:hanging="980"/>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(a) above.</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6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792" w:right="1440"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GENTEX CORPORATION</w:t>
      </w:r>
    </w:p>
    <w:p>
      <w:pPr>
        <w:spacing w:after="0" w:line="387" w:lineRule="exact"/>
        <w:rPr>
          <w:sz w:val="20"/>
          <w:szCs w:val="20"/>
          <w:color w:val="auto"/>
        </w:rPr>
      </w:pPr>
    </w:p>
    <w:p>
      <w:pPr>
        <w:ind w:left="3120"/>
        <w:spacing w:after="0"/>
        <w:tabs>
          <w:tab w:leader="none" w:pos="4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R. Downing, President and Chief Executive Officer</w:t>
      </w:r>
    </w:p>
    <w:p>
      <w:pPr>
        <w:spacing w:after="0" w:line="50" w:lineRule="exact"/>
        <w:rPr>
          <w:sz w:val="20"/>
          <w:szCs w:val="20"/>
          <w:color w:val="auto"/>
        </w:rPr>
      </w:pPr>
    </w:p>
    <w:p>
      <w:pPr>
        <w:ind w:left="3120"/>
        <w:spacing w:after="0"/>
        <w:tabs>
          <w:tab w:leader="none" w:pos="4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2018</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21nd day of February, 2017, by the following persons on behalf of the registrant and in the capacities indicated.</w:t>
      </w:r>
    </w:p>
    <w:p>
      <w:pPr>
        <w:spacing w:after="0" w:line="200" w:lineRule="exact"/>
        <w:rPr>
          <w:sz w:val="20"/>
          <w:szCs w:val="20"/>
          <w:color w:val="auto"/>
        </w:rPr>
      </w:pPr>
    </w:p>
    <w:p>
      <w:pPr>
        <w:spacing w:after="0" w:line="293" w:lineRule="exact"/>
        <w:rPr>
          <w:sz w:val="20"/>
          <w:szCs w:val="20"/>
          <w:color w:val="auto"/>
        </w:rPr>
      </w:pPr>
    </w:p>
    <w:p>
      <w:pPr>
        <w:ind w:left="3120"/>
        <w:spacing w:after="0"/>
        <w:tabs>
          <w:tab w:leader="none" w:pos="4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R. Downing, President and Chief Executive Officer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(Principal Executive Officer) on behalf of Gentex Corporation</w:t>
      </w:r>
    </w:p>
    <w:p>
      <w:pPr>
        <w:spacing w:after="0" w:line="333" w:lineRule="exact"/>
        <w:rPr>
          <w:sz w:val="20"/>
          <w:szCs w:val="20"/>
          <w:color w:val="auto"/>
        </w:rPr>
      </w:pPr>
    </w:p>
    <w:p>
      <w:pPr>
        <w:ind w:left="3540"/>
        <w:spacing w:after="0"/>
        <w:tabs>
          <w:tab w:leader="none" w:pos="4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C.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14605</wp:posOffset>
            </wp:positionV>
            <wp:extent cx="37820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Kevin C. Nash, Vice President, Finance, Chief Financial Officer and</w:t>
      </w:r>
    </w:p>
    <w:p>
      <w:pPr>
        <w:ind w:left="4400"/>
        <w:spacing w:after="0"/>
        <w:rPr>
          <w:sz w:val="20"/>
          <w:szCs w:val="20"/>
          <w:color w:val="auto"/>
        </w:rPr>
      </w:pPr>
      <w:r>
        <w:rPr>
          <w:rFonts w:ascii="Arial" w:cs="Arial" w:eastAsia="Arial" w:hAnsi="Arial"/>
          <w:sz w:val="18"/>
          <w:szCs w:val="18"/>
          <w:color w:val="auto"/>
        </w:rPr>
        <w:t>Treasurer</w:t>
      </w:r>
    </w:p>
    <w:p>
      <w:pPr>
        <w:spacing w:after="0" w:line="50" w:lineRule="exact"/>
        <w:rPr>
          <w:sz w:val="20"/>
          <w:szCs w:val="20"/>
          <w:color w:val="auto"/>
        </w:rPr>
      </w:pPr>
    </w:p>
    <w:p>
      <w:pPr>
        <w:ind w:left="4400" w:right="1240"/>
        <w:spacing w:after="0" w:line="246"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76" w:right="259" w:bottom="1440" w:gutter="0" w:footer="0" w:header="0"/>
        </w:sectPr>
      </w:pPr>
    </w:p>
    <w:bookmarkStart w:id="36" w:name="page37"/>
    <w:bookmarkEnd w:id="36"/>
    <w:p>
      <w:pPr>
        <w:ind w:firstLine="972"/>
        <w:spacing w:after="0" w:line="256" w:lineRule="auto"/>
        <w:rPr>
          <w:sz w:val="20"/>
          <w:szCs w:val="20"/>
          <w:color w:val="auto"/>
        </w:rPr>
      </w:pPr>
      <w:r>
        <w:rPr>
          <w:rFonts w:ascii="Arial" w:cs="Arial" w:eastAsia="Arial" w:hAnsi="Arial"/>
          <w:sz w:val="18"/>
          <w:szCs w:val="18"/>
          <w:color w:val="auto"/>
        </w:rPr>
        <w:t>Each Director of the registrant whose signature appears below hereby appoints Steve Downing or Kevin Nash, as his attorney-in-fact to sign in his name and on his behalf, and to file with the Commission any and all amendments to this report on Form 10-K to the same extent and with the same effect as if done personally.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Gary Goode</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Gary Goode</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James Hollars</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James Hollars</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John Mulder</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John Mulder</w:t>
            </w:r>
          </w:p>
        </w:tc>
        <w:tc>
          <w:tcPr>
            <w:tcW w:w="800" w:type="dxa"/>
            <w:vAlign w:val="bottom"/>
          </w:tcPr>
          <w:p>
            <w:pPr>
              <w:spacing w:after="0"/>
              <w:rPr>
                <w:sz w:val="19"/>
                <w:szCs w:val="19"/>
                <w:color w:val="auto"/>
              </w:rPr>
            </w:pPr>
          </w:p>
        </w:tc>
      </w:tr>
      <w:tr>
        <w:trPr>
          <w:trHeight w:val="49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Richard Schaum</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Richard Schaum</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Fred Sotok</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Fred Sotok</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James Wallace</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James Wallace</w:t>
            </w:r>
          </w:p>
        </w:tc>
        <w:tc>
          <w:tcPr>
            <w:tcW w:w="800" w:type="dxa"/>
            <w:vAlign w:val="bottom"/>
          </w:tcPr>
          <w:p>
            <w:pPr>
              <w:spacing w:after="0"/>
              <w:rPr>
                <w:sz w:val="19"/>
                <w:szCs w:val="19"/>
                <w:color w:val="auto"/>
              </w:rPr>
            </w:pPr>
          </w:p>
        </w:tc>
      </w:tr>
    </w:tbl>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1084" w:right="399" w:bottom="1440" w:gutter="0" w:footer="0" w:header="0"/>
        </w:sectPr>
      </w:pPr>
    </w:p>
    <w:bookmarkStart w:id="37" w:name="page38"/>
    <w:bookmarkEnd w:id="37"/>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Gentex Corporation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audited the accompanying consolidated balance sheets of Gentex Corporation and subsidiaries (the Company) as of December 31, 2017 and 2016, the related consolidated statements of income, comprehensive income, shareholders' investment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2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21, 2018 expressed an unqualified opinion thereon.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792" w:right="339" w:bottom="1440" w:gutter="0" w:footer="0" w:header="0"/>
        </w:sectPr>
      </w:pPr>
    </w:p>
    <w:bookmarkStart w:id="38" w:name="page39"/>
    <w:bookmarkEnd w:id="38"/>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Gentex Corporation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audited Gentex Corporation and subsidiaries’ internal control over financial reporting as of December 31, 2017, based on criteria established in Internal Control-Integrated Framework issued by the Committee of Sponsoring Organizations of the Treadway Commission (2013 framework) (the COSO criteria). In our opinion, Gentex Corporation and subsidiaries (the Company) maintained, in all material respects, effective internal control over financial reporting as of December 31, 2017, based on the COSO criteria.</w:t>
      </w:r>
    </w:p>
    <w:p>
      <w:pPr>
        <w:spacing w:after="0" w:line="1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Gentex Corporation and subsidiaries as of December 31, 2017 and 2016, the related consolidated statements of income, comprehensive income, shareholders' investment and cash flows for each of the three years in the period ended December 31, 2017, and the related notes and our report dated February 21, 2018 expressed an unqualified opinion thereon.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900" w:right="239" w:bottom="1440" w:gutter="0" w:footer="0" w:header="0"/>
        </w:sectPr>
      </w:pPr>
    </w:p>
    <w:bookmarkStart w:id="39" w:name="page40"/>
    <w:bookmarkEnd w:id="39"/>
    <w:p>
      <w:pPr>
        <w:jc w:val="center"/>
        <w:ind w:right="-759"/>
        <w:spacing w:after="0"/>
        <w:rPr>
          <w:sz w:val="20"/>
          <w:szCs w:val="20"/>
          <w:color w:val="auto"/>
        </w:rPr>
      </w:pPr>
      <w:r>
        <w:rPr>
          <w:rFonts w:ascii="Arial" w:cs="Arial" w:eastAsia="Arial" w:hAnsi="Arial"/>
          <w:sz w:val="13"/>
          <w:szCs w:val="13"/>
          <w:color w:val="auto"/>
        </w:rPr>
        <w:t>GENTEX CORPORATION AND SUBSIDIARIES</w:t>
      </w:r>
    </w:p>
    <w:p>
      <w:pPr>
        <w:jc w:val="center"/>
        <w:ind w:right="-759"/>
        <w:spacing w:after="0"/>
        <w:rPr>
          <w:sz w:val="20"/>
          <w:szCs w:val="20"/>
          <w:color w:val="auto"/>
        </w:rPr>
      </w:pPr>
      <w:r>
        <w:rPr>
          <w:rFonts w:ascii="Arial" w:cs="Arial" w:eastAsia="Arial" w:hAnsi="Arial"/>
          <w:sz w:val="13"/>
          <w:szCs w:val="13"/>
          <w:color w:val="auto"/>
        </w:rPr>
        <w:t>CONSOLIDATED BALANCE SHEETS</w:t>
      </w:r>
    </w:p>
    <w:p>
      <w:pPr>
        <w:jc w:val="center"/>
        <w:ind w:right="-759"/>
        <w:spacing w:after="0"/>
        <w:rPr>
          <w:sz w:val="20"/>
          <w:szCs w:val="20"/>
          <w:color w:val="auto"/>
        </w:rPr>
      </w:pPr>
      <w:r>
        <w:rPr>
          <w:rFonts w:ascii="Arial" w:cs="Arial" w:eastAsia="Arial" w:hAnsi="Arial"/>
          <w:sz w:val="13"/>
          <w:szCs w:val="13"/>
          <w:color w:val="auto"/>
        </w:rPr>
        <w:t>AS OF DECEMBER 31, 2017 AND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4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2"/>
        </w:trPr>
        <w:tc>
          <w:tcPr>
            <w:tcW w:w="75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2800" w:type="dxa"/>
            <w:vAlign w:val="bottom"/>
            <w:tcBorders>
              <w:top w:val="single" w:sz="8" w:color="CCEEFF"/>
            </w:tcBorders>
            <w:shd w:val="clear" w:color="auto" w:fill="CCEEFF"/>
          </w:tcPr>
          <w:p>
            <w:pPr>
              <w:spacing w:after="0"/>
              <w:rPr>
                <w:sz w:val="7"/>
                <w:szCs w:val="7"/>
                <w:color w:val="auto"/>
              </w:rPr>
            </w:pPr>
          </w:p>
        </w:tc>
        <w:tc>
          <w:tcPr>
            <w:tcW w:w="418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2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75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569,734,496</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546,477,075</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152,538,054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177,021,197</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Accounts receivable, net</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231,121,788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211,591,745</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Inventories, net</w:t>
            </w:r>
          </w:p>
        </w:tc>
        <w:tc>
          <w:tcPr>
            <w:tcW w:w="28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216,765,583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189,311,437</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Prepaid expenses and other</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14,403,902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30,587,575</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980" w:type="dxa"/>
            <w:vAlign w:val="bottom"/>
            <w:gridSpan w:val="2"/>
          </w:tcPr>
          <w:p>
            <w:pPr>
              <w:ind w:left="12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1,184,563,823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1,154,989,029</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5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PLANT AND EQUIPMENT: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Land, buildings and improvements</w:t>
            </w:r>
          </w:p>
        </w:tc>
        <w:tc>
          <w:tcPr>
            <w:tcW w:w="28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317,600,833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294,696,813</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Machinery and equipment</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790,833,278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721,713,250</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Construction-in-process</w:t>
            </w:r>
          </w:p>
        </w:tc>
        <w:tc>
          <w:tcPr>
            <w:tcW w:w="28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35,828,403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30,643,709</w:t>
            </w:r>
          </w:p>
        </w:tc>
        <w:tc>
          <w:tcPr>
            <w:tcW w:w="0" w:type="dxa"/>
            <w:vAlign w:val="bottom"/>
          </w:tcPr>
          <w:p>
            <w:pPr>
              <w:spacing w:after="0"/>
              <w:rPr>
                <w:sz w:val="1"/>
                <w:szCs w:val="1"/>
                <w:color w:val="auto"/>
              </w:rPr>
            </w:pPr>
          </w:p>
        </w:tc>
      </w:tr>
      <w:tr>
        <w:trPr>
          <w:trHeight w:val="60"/>
        </w:trPr>
        <w:tc>
          <w:tcPr>
            <w:tcW w:w="4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2800" w:type="dxa"/>
            <w:vAlign w:val="bottom"/>
            <w:tcBorders>
              <w:bottom w:val="single" w:sz="8" w:color="CCEEFF"/>
            </w:tcBorders>
          </w:tcPr>
          <w:p>
            <w:pPr>
              <w:spacing w:after="0"/>
              <w:rPr>
                <w:sz w:val="5"/>
                <w:szCs w:val="5"/>
                <w:color w:val="auto"/>
              </w:rPr>
            </w:pPr>
          </w:p>
        </w:tc>
        <w:tc>
          <w:tcPr>
            <w:tcW w:w="4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Plant and Equipment</w:t>
            </w: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1,144,262,514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1,047,053,772</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Less- Accumulated depreciation</w:t>
            </w:r>
          </w:p>
        </w:tc>
        <w:tc>
          <w:tcPr>
            <w:tcW w:w="28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(651,783,184)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(581,231,305)</w:t>
            </w:r>
          </w:p>
        </w:tc>
        <w:tc>
          <w:tcPr>
            <w:tcW w:w="0" w:type="dxa"/>
            <w:vAlign w:val="bottom"/>
          </w:tcPr>
          <w:p>
            <w:pPr>
              <w:spacing w:after="0"/>
              <w:rPr>
                <w:sz w:val="1"/>
                <w:szCs w:val="1"/>
                <w:color w:val="auto"/>
              </w:rPr>
            </w:pPr>
          </w:p>
        </w:tc>
      </w:tr>
      <w:tr>
        <w:trPr>
          <w:trHeight w:val="60"/>
        </w:trPr>
        <w:tc>
          <w:tcPr>
            <w:tcW w:w="4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2800" w:type="dxa"/>
            <w:vAlign w:val="bottom"/>
            <w:tcBorders>
              <w:bottom w:val="single" w:sz="8" w:color="CCEEFF"/>
            </w:tcBorders>
          </w:tcPr>
          <w:p>
            <w:pPr>
              <w:spacing w:after="0"/>
              <w:rPr>
                <w:sz w:val="5"/>
                <w:szCs w:val="5"/>
                <w:color w:val="auto"/>
              </w:rPr>
            </w:pPr>
          </w:p>
        </w:tc>
        <w:tc>
          <w:tcPr>
            <w:tcW w:w="4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Plant and Equipment</w:t>
            </w: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492,479,330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465,822,467</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75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307,365,845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307,365,845</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Long-term investments</w:t>
            </w:r>
          </w:p>
        </w:tc>
        <w:tc>
          <w:tcPr>
            <w:tcW w:w="28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57,782,418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49,894,363</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288,975,000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308,275,000</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Patents and other assets, net</w:t>
            </w:r>
          </w:p>
        </w:tc>
        <w:tc>
          <w:tcPr>
            <w:tcW w:w="28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20,887,496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23,273,129</w:t>
            </w:r>
          </w:p>
        </w:tc>
        <w:tc>
          <w:tcPr>
            <w:tcW w:w="0" w:type="dxa"/>
            <w:vAlign w:val="bottom"/>
          </w:tcPr>
          <w:p>
            <w:pPr>
              <w:spacing w:after="0"/>
              <w:rPr>
                <w:sz w:val="1"/>
                <w:szCs w:val="1"/>
                <w:color w:val="auto"/>
              </w:rPr>
            </w:pPr>
          </w:p>
        </w:tc>
      </w:tr>
      <w:tr>
        <w:trPr>
          <w:trHeight w:val="60"/>
        </w:trPr>
        <w:tc>
          <w:tcPr>
            <w:tcW w:w="4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2800" w:type="dxa"/>
            <w:vAlign w:val="bottom"/>
            <w:tcBorders>
              <w:bottom w:val="single" w:sz="8" w:color="CCEEFF"/>
            </w:tcBorders>
          </w:tcPr>
          <w:p>
            <w:pPr>
              <w:spacing w:after="0"/>
              <w:rPr>
                <w:sz w:val="5"/>
                <w:szCs w:val="5"/>
                <w:color w:val="auto"/>
              </w:rPr>
            </w:pPr>
          </w:p>
        </w:tc>
        <w:tc>
          <w:tcPr>
            <w:tcW w:w="4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Other Assets</w:t>
            </w: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675,010,759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688,808,337</w:t>
            </w: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758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2,352,053,912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2,309,619,833</w:t>
            </w:r>
          </w:p>
        </w:tc>
        <w:tc>
          <w:tcPr>
            <w:tcW w:w="0" w:type="dxa"/>
            <w:vAlign w:val="bottom"/>
          </w:tcPr>
          <w:p>
            <w:pPr>
              <w:spacing w:after="0"/>
              <w:rPr>
                <w:sz w:val="1"/>
                <w:szCs w:val="1"/>
                <w:color w:val="auto"/>
              </w:rPr>
            </w:pPr>
          </w:p>
        </w:tc>
      </w:tr>
      <w:tr>
        <w:trPr>
          <w:trHeight w:val="129"/>
        </w:trPr>
        <w:tc>
          <w:tcPr>
            <w:tcW w:w="7580" w:type="dxa"/>
            <w:vAlign w:val="bottom"/>
            <w:gridSpan w:val="4"/>
            <w:shd w:val="clear" w:color="auto" w:fill="CCEEFF"/>
          </w:tcPr>
          <w:p>
            <w:pPr>
              <w:ind w:left="40"/>
              <w:spacing w:after="0" w:line="129" w:lineRule="exact"/>
              <w:rPr>
                <w:sz w:val="20"/>
                <w:szCs w:val="20"/>
                <w:color w:val="auto"/>
              </w:rPr>
            </w:pPr>
            <w:r>
              <w:rPr>
                <w:rFonts w:ascii="Arial" w:cs="Arial" w:eastAsia="Arial" w:hAnsi="Arial"/>
                <w:sz w:val="14"/>
                <w:szCs w:val="14"/>
                <w:color w:val="auto"/>
              </w:rPr>
              <w:t>LIABILITIES AND SHAREHOLDERS’ INVESTMENT</w:t>
            </w:r>
          </w:p>
        </w:tc>
        <w:tc>
          <w:tcPr>
            <w:tcW w:w="2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800" w:type="dxa"/>
            <w:vAlign w:val="bottom"/>
            <w:tcBorders>
              <w:top w:val="single" w:sz="8" w:color="auto"/>
            </w:tcBorders>
            <w:shd w:val="clear" w:color="auto" w:fill="CCEEFF"/>
          </w:tcPr>
          <w:p>
            <w:pPr>
              <w:spacing w:after="0"/>
              <w:rPr>
                <w:sz w:val="8"/>
                <w:szCs w:val="8"/>
                <w:color w:val="auto"/>
              </w:rPr>
            </w:pPr>
          </w:p>
        </w:tc>
        <w:tc>
          <w:tcPr>
            <w:tcW w:w="4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2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2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75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89,898,467</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79,963,630</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754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Salaries, wages and vacation</w:t>
            </w:r>
          </w:p>
        </w:tc>
        <w:tc>
          <w:tcPr>
            <w:tcW w:w="2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18,502,209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12,378,007</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40" w:type="dxa"/>
            <w:vAlign w:val="bottom"/>
            <w:gridSpan w:val="3"/>
          </w:tcPr>
          <w:p>
            <w:pPr>
              <w:ind w:left="560"/>
              <w:spacing w:after="0"/>
              <w:rPr>
                <w:sz w:val="20"/>
                <w:szCs w:val="20"/>
                <w:color w:val="auto"/>
              </w:rPr>
            </w:pPr>
            <w:r>
              <w:rPr>
                <w:rFonts w:ascii="Arial" w:cs="Arial" w:eastAsia="Arial" w:hAnsi="Arial"/>
                <w:sz w:val="14"/>
                <w:szCs w:val="14"/>
                <w:color w:val="auto"/>
              </w:rPr>
              <w:t>Income Taxes</w:t>
            </w:r>
          </w:p>
        </w:tc>
        <w:tc>
          <w:tcPr>
            <w:tcW w:w="28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360,014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572,834</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Royalties</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14,660,864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11,932,416</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40" w:type="dxa"/>
            <w:vAlign w:val="bottom"/>
            <w:gridSpan w:val="3"/>
          </w:tcPr>
          <w:p>
            <w:pPr>
              <w:ind w:left="560"/>
              <w:spacing w:after="0"/>
              <w:rPr>
                <w:sz w:val="20"/>
                <w:szCs w:val="20"/>
                <w:color w:val="auto"/>
              </w:rPr>
            </w:pPr>
            <w:r>
              <w:rPr>
                <w:rFonts w:ascii="Arial" w:cs="Arial" w:eastAsia="Arial" w:hAnsi="Arial"/>
                <w:sz w:val="14"/>
                <w:szCs w:val="14"/>
                <w:color w:val="auto"/>
              </w:rPr>
              <w:t>Dividends payable</w:t>
            </w:r>
          </w:p>
        </w:tc>
        <w:tc>
          <w:tcPr>
            <w:tcW w:w="28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28,028,132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25,896,376</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Current portion of long term debt</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78,000,000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7,500,000</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40" w:type="dxa"/>
            <w:vAlign w:val="bottom"/>
            <w:gridSpan w:val="3"/>
          </w:tcPr>
          <w:p>
            <w:pPr>
              <w:ind w:left="56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14,197,321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11,614,716</w:t>
            </w:r>
          </w:p>
        </w:tc>
        <w:tc>
          <w:tcPr>
            <w:tcW w:w="0" w:type="dxa"/>
            <w:vAlign w:val="bottom"/>
          </w:tcPr>
          <w:p>
            <w:pPr>
              <w:spacing w:after="0"/>
              <w:rPr>
                <w:sz w:val="1"/>
                <w:szCs w:val="1"/>
                <w:color w:val="auto"/>
              </w:rPr>
            </w:pPr>
          </w:p>
        </w:tc>
      </w:tr>
      <w:tr>
        <w:trPr>
          <w:trHeight w:val="60"/>
        </w:trPr>
        <w:tc>
          <w:tcPr>
            <w:tcW w:w="4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2800" w:type="dxa"/>
            <w:vAlign w:val="bottom"/>
            <w:tcBorders>
              <w:bottom w:val="single" w:sz="8" w:color="CCEEFF"/>
            </w:tcBorders>
          </w:tcPr>
          <w:p>
            <w:pPr>
              <w:spacing w:after="0"/>
              <w:rPr>
                <w:sz w:val="5"/>
                <w:szCs w:val="5"/>
                <w:color w:val="auto"/>
              </w:rPr>
            </w:pPr>
          </w:p>
        </w:tc>
        <w:tc>
          <w:tcPr>
            <w:tcW w:w="4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243,647,007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149,857,979</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LONG TERM DEBT</w:t>
            </w:r>
          </w:p>
        </w:tc>
        <w:tc>
          <w:tcPr>
            <w:tcW w:w="280" w:type="dxa"/>
            <w:vAlign w:val="bottom"/>
          </w:tcPr>
          <w:p>
            <w:pPr>
              <w:spacing w:after="0"/>
              <w:rPr>
                <w:sz w:val="17"/>
                <w:szCs w:val="17"/>
                <w:color w:val="auto"/>
              </w:rPr>
            </w:pP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178,125,000</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5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58,888,644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71,212,620</w:t>
            </w: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302,535,651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399,195,599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5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SHAREHOLDERS’ INVESTMENT:</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Preferred stock, no par value, 5,000,000 shares authorized; none issued or outstanding</w:t>
            </w:r>
          </w:p>
        </w:tc>
        <w:tc>
          <w:tcPr>
            <w:tcW w:w="280" w:type="dxa"/>
            <w:vAlign w:val="bottom"/>
          </w:tcPr>
          <w:p>
            <w:pPr>
              <w:spacing w:after="0"/>
              <w:rPr>
                <w:sz w:val="17"/>
                <w:szCs w:val="17"/>
                <w:color w:val="auto"/>
              </w:rPr>
            </w:pP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CCEEFF"/>
          </w:tcPr>
          <w:p>
            <w:pPr>
              <w:spacing w:after="0"/>
              <w:rPr>
                <w:sz w:val="17"/>
                <w:szCs w:val="17"/>
                <w:color w:val="auto"/>
              </w:rPr>
            </w:pPr>
          </w:p>
        </w:tc>
        <w:tc>
          <w:tcPr>
            <w:tcW w:w="75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Common stock, par value $.06 per share; 400,000,000 shares authorized; 280,281,321 and 287,737,516 shares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 w:type="dxa"/>
            <w:vAlign w:val="bottom"/>
            <w:shd w:val="clear" w:color="auto" w:fill="CCEEFF"/>
          </w:tcPr>
          <w:p>
            <w:pPr>
              <w:spacing w:after="0"/>
              <w:rPr>
                <w:sz w:val="16"/>
                <w:szCs w:val="16"/>
                <w:color w:val="auto"/>
              </w:rPr>
            </w:pPr>
          </w:p>
        </w:tc>
        <w:tc>
          <w:tcPr>
            <w:tcW w:w="75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issued and outstanding in 2017 and 2016 respectively.</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16,816,879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17,264,251</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723,510,672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683,446,463</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1,301,997,327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1,210,984,825</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Accumulated other comprehensive income:</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Unrealized gain on investments</w:t>
            </w:r>
          </w:p>
        </w:tc>
        <w:tc>
          <w:tcPr>
            <w:tcW w:w="2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6,626,379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2,788,975</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80" w:type="dxa"/>
            <w:vAlign w:val="bottom"/>
            <w:gridSpan w:val="2"/>
          </w:tcPr>
          <w:p>
            <w:pPr>
              <w:ind w:left="120"/>
              <w:spacing w:after="0"/>
              <w:rPr>
                <w:sz w:val="20"/>
                <w:szCs w:val="20"/>
                <w:color w:val="auto"/>
              </w:rPr>
            </w:pPr>
            <w:r>
              <w:rPr>
                <w:rFonts w:ascii="Arial" w:cs="Arial" w:eastAsia="Arial" w:hAnsi="Arial"/>
                <w:sz w:val="14"/>
                <w:szCs w:val="14"/>
                <w:color w:val="auto"/>
              </w:rPr>
              <w:t>Unrealized gain (loss) on derivatives</w:t>
            </w:r>
          </w:p>
        </w:tc>
        <w:tc>
          <w:tcPr>
            <w:tcW w:w="28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(78,026)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(1,197,281)</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Cumulative translation adjustment</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645,030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(2,862,999)</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980" w:type="dxa"/>
            <w:vAlign w:val="bottom"/>
            <w:gridSpan w:val="2"/>
          </w:tcPr>
          <w:p>
            <w:pPr>
              <w:ind w:left="540"/>
              <w:spacing w:after="0"/>
              <w:rPr>
                <w:sz w:val="20"/>
                <w:szCs w:val="20"/>
                <w:color w:val="auto"/>
              </w:rPr>
            </w:pPr>
            <w:r>
              <w:rPr>
                <w:rFonts w:ascii="Arial" w:cs="Arial" w:eastAsia="Arial" w:hAnsi="Arial"/>
                <w:sz w:val="14"/>
                <w:szCs w:val="14"/>
                <w:color w:val="auto"/>
              </w:rPr>
              <w:t>Total shareholders’ investment</w:t>
            </w:r>
          </w:p>
        </w:tc>
        <w:tc>
          <w:tcPr>
            <w:tcW w:w="28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2,049,518,261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1,910,424,234</w:t>
            </w:r>
          </w:p>
        </w:tc>
        <w:tc>
          <w:tcPr>
            <w:tcW w:w="0" w:type="dxa"/>
            <w:vAlign w:val="bottom"/>
          </w:tcPr>
          <w:p>
            <w:pPr>
              <w:spacing w:after="0"/>
              <w:rPr>
                <w:sz w:val="1"/>
                <w:szCs w:val="1"/>
                <w:color w:val="auto"/>
              </w:rPr>
            </w:pPr>
          </w:p>
        </w:tc>
      </w:tr>
      <w:tr>
        <w:trPr>
          <w:trHeight w:val="60"/>
        </w:trPr>
        <w:tc>
          <w:tcPr>
            <w:tcW w:w="4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2800" w:type="dxa"/>
            <w:vAlign w:val="bottom"/>
            <w:tcBorders>
              <w:bottom w:val="single" w:sz="8" w:color="CCEEFF"/>
            </w:tcBorders>
          </w:tcPr>
          <w:p>
            <w:pPr>
              <w:spacing w:after="0"/>
              <w:rPr>
                <w:sz w:val="5"/>
                <w:szCs w:val="5"/>
                <w:color w:val="auto"/>
              </w:rPr>
            </w:pPr>
          </w:p>
        </w:tc>
        <w:tc>
          <w:tcPr>
            <w:tcW w:w="4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TOTAL LIABILITES AND SHAREHOLDERS' INVESTMENT</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2,352,053,912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2,309,619,833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580" w:type="dxa"/>
            <w:vAlign w:val="bottom"/>
            <w:gridSpan w:val="5"/>
          </w:tcPr>
          <w:p>
            <w:pPr>
              <w:ind w:left="2320"/>
              <w:spacing w:after="0" w:line="157" w:lineRule="exact"/>
              <w:rPr>
                <w:sz w:val="20"/>
                <w:szCs w:val="20"/>
                <w:color w:val="auto"/>
              </w:rPr>
            </w:pPr>
            <w:r>
              <w:rPr>
                <w:rFonts w:ascii="Arial" w:cs="Arial" w:eastAsia="Arial" w:hAnsi="Arial"/>
                <w:sz w:val="14"/>
                <w:szCs w:val="14"/>
                <w:color w:val="auto"/>
              </w:rPr>
              <w:t>The accompanying notes are an integral part of these consolidated financial statements.</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240" w:top="808" w:right="999" w:bottom="759" w:gutter="0" w:footer="0" w:header="0"/>
        </w:sectPr>
      </w:pP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660"/>
          </w:cols>
          <w:pgMar w:left="240" w:top="808" w:right="999" w:bottom="759"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YEARS ENDED DECEMBER 31, 2017, 2016 AND 2015</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56"/>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1,794,872,578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1,678,924,756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1,543,617,706</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0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1,100,344,312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1,010,472,512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939,841,654</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694,528,266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668,452,244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603,776,052</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8"/>
                <w:szCs w:val="18"/>
                <w:color w:val="auto"/>
              </w:rPr>
              <w:t>Engineering, research and development</w:t>
            </w: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99,726,438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94,238,032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88,392,919</w:t>
            </w: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71,443,476</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62,471,277</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56,616,694</w:t>
            </w:r>
          </w:p>
        </w:tc>
      </w:tr>
      <w:tr>
        <w:trPr>
          <w:trHeight w:val="244"/>
        </w:trPr>
        <w:tc>
          <w:tcPr>
            <w:tcW w:w="46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171,169,914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156,709,309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145,009,613</w:t>
            </w:r>
          </w:p>
        </w:tc>
      </w:tr>
      <w:tr>
        <w:trPr>
          <w:trHeight w:val="297"/>
        </w:trPr>
        <w:tc>
          <w:tcPr>
            <w:tcW w:w="46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8"/>
                <w:szCs w:val="18"/>
                <w:color w:val="auto"/>
              </w:rPr>
              <w:t>Income from operations</w:t>
            </w: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523,358,352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511,742,935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458,766,439</w:t>
            </w:r>
          </w:p>
        </w:tc>
      </w:tr>
      <w:tr>
        <w:trPr>
          <w:trHeight w:val="304"/>
        </w:trPr>
        <w:tc>
          <w:tcPr>
            <w:tcW w:w="46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Investment income</w:t>
            </w: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9,442,387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4,787,128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4,990,811</w:t>
            </w:r>
          </w:p>
        </w:tc>
      </w:tr>
      <w:tr>
        <w:trPr>
          <w:trHeight w:val="264"/>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(1,004,035)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(5,969,290)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(165,794)</w:t>
            </w:r>
          </w:p>
        </w:tc>
      </w:tr>
      <w:tr>
        <w:trPr>
          <w:trHeight w:val="250"/>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0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8,438,352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(1,182,162)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4,825,017</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531,796,704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510,560,773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463,591,456</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125,004,782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162,969,497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145,121,597</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406,791,922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347,591,276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318,469,859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90"/>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10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w:t>
            </w:r>
          </w:p>
        </w:tc>
      </w:tr>
      <w:tr>
        <w:trPr>
          <w:trHeight w:val="237"/>
        </w:trPr>
        <w:tc>
          <w:tcPr>
            <w:tcW w:w="464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Diluted</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0.390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0.355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0.335</w:t>
            </w:r>
          </w:p>
        </w:tc>
      </w:tr>
      <w:tr>
        <w:trPr>
          <w:trHeight w:val="351"/>
        </w:trPr>
        <w:tc>
          <w:tcPr>
            <w:tcW w:w="9580" w:type="dxa"/>
            <w:vAlign w:val="bottom"/>
            <w:gridSpan w:val="8"/>
          </w:tcPr>
          <w:p>
            <w:pPr>
              <w:ind w:left="2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59"/>
        </w:trPr>
        <w:tc>
          <w:tcPr>
            <w:tcW w:w="4640" w:type="dxa"/>
            <w:vAlign w:val="bottom"/>
          </w:tcPr>
          <w:p>
            <w:pPr>
              <w:spacing w:after="0"/>
              <w:rPr>
                <w:sz w:val="24"/>
                <w:szCs w:val="24"/>
                <w:color w:val="auto"/>
              </w:rPr>
            </w:pP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40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59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 OF COMPREHENSIVE INCOME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YEARS ENDED DECEMBER 31, 2017, 2016 AND 2015</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406,791,922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347,591,276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318,469,859</w:t>
            </w:r>
          </w:p>
        </w:tc>
      </w:tr>
      <w:tr>
        <w:trPr>
          <w:trHeight w:val="324"/>
        </w:trPr>
        <w:tc>
          <w:tcPr>
            <w:tcW w:w="6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3"/>
        </w:trPr>
        <w:tc>
          <w:tcPr>
            <w:tcW w:w="60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3,508,029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(2,818,090)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(1,448,808)</w:t>
            </w:r>
          </w:p>
        </w:tc>
      </w:tr>
      <w:tr>
        <w:trPr>
          <w:trHeight w:val="27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(losses) on derivatives</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1,721,933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1,105,468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(1,471,736)</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Unrealized gains (losses) on available-for-sale securities, net</w:t>
            </w: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5,903,699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3,013,951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(15,443,716)</w:t>
            </w:r>
          </w:p>
        </w:tc>
      </w:tr>
      <w:tr>
        <w:trPr>
          <w:trHeight w:val="324"/>
        </w:trPr>
        <w:tc>
          <w:tcPr>
            <w:tcW w:w="6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3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11,133,661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1,301,328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(18,364,260)</w:t>
            </w:r>
          </w:p>
        </w:tc>
      </w:tr>
      <w:tr>
        <w:trPr>
          <w:trHeight w:val="331"/>
        </w:trPr>
        <w:tc>
          <w:tcPr>
            <w:tcW w:w="6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Expense (Benefit) for income taxes related to components of other</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2,668,973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1,441,798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(5,920,409)</w:t>
            </w:r>
          </w:p>
        </w:tc>
      </w:tr>
      <w:tr>
        <w:trPr>
          <w:trHeight w:val="324"/>
        </w:trPr>
        <w:tc>
          <w:tcPr>
            <w:tcW w:w="6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8,464,688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(140,469)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(12,443,851)</w:t>
            </w:r>
          </w:p>
        </w:tc>
      </w:tr>
      <w:tr>
        <w:trPr>
          <w:trHeight w:val="324"/>
        </w:trPr>
        <w:tc>
          <w:tcPr>
            <w:tcW w:w="6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415,256,610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347,450,807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306,026,008</w:t>
            </w:r>
          </w:p>
        </w:tc>
      </w:tr>
      <w:tr>
        <w:trPr>
          <w:trHeight w:val="20"/>
        </w:trPr>
        <w:tc>
          <w:tcPr>
            <w:tcW w:w="6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98"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 OF SHAREHOLDERS’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YEARS ENDED DECEMBER 31, 2017, 2016 and 2015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Common</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Retained</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Earnings</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36"/>
        </w:trPr>
        <w:tc>
          <w:tcPr>
            <w:tcW w:w="4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JANUARY 1, 2015</w:t>
            </w:r>
          </w:p>
        </w:tc>
        <w:tc>
          <w:tcPr>
            <w:tcW w:w="10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295,247,958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17,714,877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$553,836,483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988,548,070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11,313,015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$1,571,412,445</w:t>
            </w:r>
          </w:p>
        </w:tc>
        <w:tc>
          <w:tcPr>
            <w:tcW w:w="0" w:type="dxa"/>
            <w:vAlign w:val="bottom"/>
          </w:tcPr>
          <w:p>
            <w:pPr>
              <w:spacing w:after="0"/>
              <w:rPr>
                <w:sz w:val="1"/>
                <w:szCs w:val="1"/>
                <w:color w:val="auto"/>
              </w:rPr>
            </w:pPr>
          </w:p>
        </w:tc>
      </w:tr>
      <w:tr>
        <w:trPr>
          <w:trHeight w:val="194"/>
        </w:trPr>
        <w:tc>
          <w:tcPr>
            <w:tcW w:w="4420" w:type="dxa"/>
            <w:vAlign w:val="bottom"/>
          </w:tcPr>
          <w:p>
            <w:pPr>
              <w:ind w:left="40"/>
              <w:spacing w:after="0"/>
              <w:rPr>
                <w:sz w:val="20"/>
                <w:szCs w:val="20"/>
                <w:color w:val="auto"/>
              </w:rPr>
            </w:pPr>
            <w:r>
              <w:rPr>
                <w:rFonts w:ascii="Arial" w:cs="Arial" w:eastAsia="Arial" w:hAnsi="Arial"/>
                <w:sz w:val="14"/>
                <w:szCs w:val="14"/>
                <w:color w:val="auto"/>
              </w:rPr>
              <w:t>Issuance of common stock and the tax benefit of stock plan</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20" w:type="dxa"/>
            <w:vAlign w:val="bottom"/>
          </w:tcPr>
          <w:p>
            <w:pPr>
              <w:ind w:left="40"/>
              <w:spacing w:after="0"/>
              <w:rPr>
                <w:sz w:val="20"/>
                <w:szCs w:val="20"/>
                <w:color w:val="auto"/>
              </w:rPr>
            </w:pPr>
            <w:r>
              <w:rPr>
                <w:rFonts w:ascii="Arial" w:cs="Arial" w:eastAsia="Arial" w:hAnsi="Arial"/>
                <w:sz w:val="14"/>
                <w:szCs w:val="14"/>
                <w:color w:val="auto"/>
              </w:rPr>
              <w:t>transactions</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2,740,626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164,438</w:t>
            </w:r>
          </w:p>
        </w:tc>
        <w:tc>
          <w:tcPr>
            <w:tcW w:w="12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32,841,787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33,006,225</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Repurchases of common stock</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(6,650,573)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(399,034)</w:t>
            </w: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(11,326,566)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(99,503,225)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(111,228,825)</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420" w:type="dxa"/>
            <w:vAlign w:val="bottom"/>
          </w:tcPr>
          <w:p>
            <w:pPr>
              <w:ind w:left="40"/>
              <w:spacing w:after="0"/>
              <w:rPr>
                <w:sz w:val="20"/>
                <w:szCs w:val="20"/>
                <w:color w:val="auto"/>
              </w:rPr>
            </w:pPr>
            <w:r>
              <w:rPr>
                <w:rFonts w:ascii="Arial" w:cs="Arial" w:eastAsia="Arial" w:hAnsi="Arial"/>
                <w:sz w:val="14"/>
                <w:szCs w:val="14"/>
                <w:color w:val="auto"/>
              </w:rPr>
              <w:t>Stock-based compensation expense related to stock options,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20" w:type="dxa"/>
            <w:vAlign w:val="bottom"/>
          </w:tcPr>
          <w:p>
            <w:pPr>
              <w:ind w:left="40"/>
              <w:spacing w:after="0"/>
              <w:rPr>
                <w:sz w:val="20"/>
                <w:szCs w:val="20"/>
                <w:color w:val="auto"/>
              </w:rPr>
            </w:pPr>
            <w:r>
              <w:rPr>
                <w:rFonts w:ascii="Arial" w:cs="Arial" w:eastAsia="Arial" w:hAnsi="Arial"/>
                <w:sz w:val="14"/>
                <w:szCs w:val="14"/>
                <w:color w:val="auto"/>
              </w:rPr>
              <w:t>employee stock purchases and restricted stock</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21,430,991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21,430,991</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($.335 per share)</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(98,130,083)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(98,130,083)</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318,469,859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318,469,859</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(12,443,851)</w:t>
            </w:r>
          </w:p>
        </w:tc>
        <w:tc>
          <w:tcPr>
            <w:tcW w:w="1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(12,443,851)</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0"/>
              <w:spacing w:after="0"/>
              <w:rPr>
                <w:sz w:val="20"/>
                <w:szCs w:val="20"/>
                <w:color w:val="auto"/>
              </w:rPr>
            </w:pPr>
            <w:r>
              <w:rPr>
                <w:rFonts w:ascii="Arial" w:cs="Arial" w:eastAsia="Arial" w:hAnsi="Arial"/>
                <w:sz w:val="14"/>
                <w:szCs w:val="14"/>
                <w:color w:val="auto"/>
              </w:rPr>
              <w:t>BALANCE AS OF DECEMBER 31, 2015</w:t>
            </w:r>
          </w:p>
        </w:tc>
        <w:tc>
          <w:tcPr>
            <w:tcW w:w="10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291,338,011</w:t>
            </w:r>
          </w:p>
        </w:tc>
        <w:tc>
          <w:tcPr>
            <w:tcW w:w="12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17,480,281</w:t>
            </w:r>
          </w:p>
        </w:tc>
        <w:tc>
          <w:tcPr>
            <w:tcW w:w="120" w:type="dxa"/>
            <w:vAlign w:val="bottom"/>
          </w:tcPr>
          <w:p>
            <w:pPr>
              <w:spacing w:after="0"/>
              <w:rPr>
                <w:sz w:val="16"/>
                <w:szCs w:val="16"/>
                <w:color w:val="auto"/>
              </w:rPr>
            </w:pPr>
          </w:p>
        </w:tc>
        <w:tc>
          <w:tcPr>
            <w:tcW w:w="10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$596,782,695</w:t>
            </w:r>
          </w:p>
        </w:tc>
        <w:tc>
          <w:tcPr>
            <w:tcW w:w="10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1,109,384,621</w:t>
            </w:r>
          </w:p>
        </w:tc>
        <w:tc>
          <w:tcPr>
            <w:tcW w:w="100" w:type="dxa"/>
            <w:vAlign w:val="bottom"/>
          </w:tcPr>
          <w:p>
            <w:pPr>
              <w:spacing w:after="0"/>
              <w:rPr>
                <w:sz w:val="16"/>
                <w:szCs w:val="16"/>
                <w:color w:val="auto"/>
              </w:rPr>
            </w:pPr>
          </w:p>
        </w:tc>
        <w:tc>
          <w:tcPr>
            <w:tcW w:w="18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(1,130,836)</w:t>
            </w:r>
          </w:p>
        </w:tc>
        <w:tc>
          <w:tcPr>
            <w:tcW w:w="120" w:type="dxa"/>
            <w:vAlign w:val="bottom"/>
          </w:tcPr>
          <w:p>
            <w:pPr>
              <w:spacing w:after="0"/>
              <w:rPr>
                <w:sz w:val="16"/>
                <w:szCs w:val="16"/>
                <w:color w:val="auto"/>
              </w:rPr>
            </w:pPr>
          </w:p>
        </w:tc>
        <w:tc>
          <w:tcPr>
            <w:tcW w:w="11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$1,722,516,761</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and the tax benefit of stock plan</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transactions</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6,705,632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402,338</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86,491,101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86,893,439</w:t>
            </w:r>
          </w:p>
        </w:tc>
        <w:tc>
          <w:tcPr>
            <w:tcW w:w="0" w:type="dxa"/>
            <w:vAlign w:val="bottom"/>
          </w:tcPr>
          <w:p>
            <w:pPr>
              <w:spacing w:after="0"/>
              <w:rPr>
                <w:sz w:val="1"/>
                <w:szCs w:val="1"/>
                <w:color w:val="auto"/>
              </w:rPr>
            </w:pPr>
          </w:p>
        </w:tc>
      </w:tr>
      <w:tr>
        <w:trPr>
          <w:trHeight w:val="204"/>
        </w:trPr>
        <w:tc>
          <w:tcPr>
            <w:tcW w:w="4420" w:type="dxa"/>
            <w:vAlign w:val="bottom"/>
          </w:tcPr>
          <w:p>
            <w:pPr>
              <w:ind w:left="40"/>
              <w:spacing w:after="0"/>
              <w:rPr>
                <w:sz w:val="20"/>
                <w:szCs w:val="20"/>
                <w:color w:val="auto"/>
              </w:rPr>
            </w:pPr>
            <w:r>
              <w:rPr>
                <w:rFonts w:ascii="Arial" w:cs="Arial" w:eastAsia="Arial" w:hAnsi="Arial"/>
                <w:sz w:val="14"/>
                <w:szCs w:val="14"/>
                <w:color w:val="auto"/>
              </w:rPr>
              <w:t>Repurchases of common stock</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(10,306,127)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(618,368)</w:t>
            </w: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(19,020,032)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(143,722,821)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(163,361,221)</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 related to stock options,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stock purchases and restricted stock</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19,192,699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19,192,699</w:t>
            </w:r>
          </w:p>
        </w:tc>
        <w:tc>
          <w:tcPr>
            <w:tcW w:w="0" w:type="dxa"/>
            <w:vAlign w:val="bottom"/>
          </w:tcPr>
          <w:p>
            <w:pPr>
              <w:spacing w:after="0"/>
              <w:rPr>
                <w:sz w:val="1"/>
                <w:szCs w:val="1"/>
                <w:color w:val="auto"/>
              </w:rPr>
            </w:pPr>
          </w:p>
        </w:tc>
      </w:tr>
      <w:tr>
        <w:trPr>
          <w:trHeight w:val="204"/>
        </w:trPr>
        <w:tc>
          <w:tcPr>
            <w:tcW w:w="4420" w:type="dxa"/>
            <w:vAlign w:val="bottom"/>
          </w:tcPr>
          <w:p>
            <w:pPr>
              <w:ind w:left="40"/>
              <w:spacing w:after="0"/>
              <w:rPr>
                <w:sz w:val="20"/>
                <w:szCs w:val="20"/>
                <w:color w:val="auto"/>
              </w:rPr>
            </w:pPr>
            <w:r>
              <w:rPr>
                <w:rFonts w:ascii="Arial" w:cs="Arial" w:eastAsia="Arial" w:hAnsi="Arial"/>
                <w:sz w:val="14"/>
                <w:szCs w:val="14"/>
                <w:color w:val="auto"/>
              </w:rPr>
              <w:t>Dividends declared ($.355 per share)</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(102,268,251)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(102,268,251)</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347,591,276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347,591,276</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(140,469)</w:t>
            </w:r>
          </w:p>
        </w:tc>
        <w:tc>
          <w:tcPr>
            <w:tcW w:w="1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(140,469)</w:t>
            </w:r>
          </w:p>
        </w:tc>
        <w:tc>
          <w:tcPr>
            <w:tcW w:w="0" w:type="dxa"/>
            <w:vAlign w:val="bottom"/>
          </w:tcPr>
          <w:p>
            <w:pPr>
              <w:spacing w:after="0"/>
              <w:rPr>
                <w:sz w:val="1"/>
                <w:szCs w:val="1"/>
                <w:color w:val="auto"/>
              </w:rPr>
            </w:pPr>
          </w:p>
        </w:tc>
      </w:tr>
      <w:tr>
        <w:trPr>
          <w:trHeight w:val="60"/>
        </w:trPr>
        <w:tc>
          <w:tcPr>
            <w:tcW w:w="44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vMerge w:val="continue"/>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gridSpan w:val="2"/>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2016</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287,737,516</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17,264,251</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$683,446,463</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1,210,984,825</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(1,271,305)</w:t>
            </w:r>
          </w:p>
        </w:tc>
        <w:tc>
          <w:tcPr>
            <w:tcW w:w="1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$1,910,424,234</w:t>
            </w:r>
          </w:p>
        </w:tc>
        <w:tc>
          <w:tcPr>
            <w:tcW w:w="0" w:type="dxa"/>
            <w:vAlign w:val="bottom"/>
          </w:tcPr>
          <w:p>
            <w:pPr>
              <w:spacing w:after="0"/>
              <w:rPr>
                <w:sz w:val="1"/>
                <w:szCs w:val="1"/>
                <w:color w:val="auto"/>
              </w:rPr>
            </w:pPr>
          </w:p>
        </w:tc>
      </w:tr>
      <w:tr>
        <w:trPr>
          <w:trHeight w:val="80"/>
        </w:trPr>
        <w:tc>
          <w:tcPr>
            <w:tcW w:w="44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420" w:type="dxa"/>
            <w:vAlign w:val="bottom"/>
          </w:tcPr>
          <w:p>
            <w:pPr>
              <w:ind w:left="40"/>
              <w:spacing w:after="0"/>
              <w:rPr>
                <w:sz w:val="20"/>
                <w:szCs w:val="20"/>
                <w:color w:val="auto"/>
              </w:rPr>
            </w:pPr>
            <w:r>
              <w:rPr>
                <w:rFonts w:ascii="Arial" w:cs="Arial" w:eastAsia="Arial" w:hAnsi="Arial"/>
                <w:sz w:val="14"/>
                <w:szCs w:val="14"/>
                <w:color w:val="auto"/>
              </w:rPr>
              <w:t>Issuance of common stock and the tax benefit of stock plan</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20" w:type="dxa"/>
            <w:vAlign w:val="bottom"/>
          </w:tcPr>
          <w:p>
            <w:pPr>
              <w:ind w:left="40"/>
              <w:spacing w:after="0"/>
              <w:rPr>
                <w:sz w:val="20"/>
                <w:szCs w:val="20"/>
                <w:color w:val="auto"/>
              </w:rPr>
            </w:pPr>
            <w:r>
              <w:rPr>
                <w:rFonts w:ascii="Arial" w:cs="Arial" w:eastAsia="Arial" w:hAnsi="Arial"/>
                <w:sz w:val="14"/>
                <w:szCs w:val="14"/>
                <w:color w:val="auto"/>
              </w:rPr>
              <w:t>transactions</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4,498,729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269,923</w:t>
            </w:r>
          </w:p>
        </w:tc>
        <w:tc>
          <w:tcPr>
            <w:tcW w:w="12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47,500,544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47,770,467</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Repurchases of common stock</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(11,954,924)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(717,295)</w:t>
            </w: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(25,813,300)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(204,832,621)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(231,363,216)</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420" w:type="dxa"/>
            <w:vAlign w:val="bottom"/>
          </w:tcPr>
          <w:p>
            <w:pPr>
              <w:ind w:left="40"/>
              <w:spacing w:after="0"/>
              <w:rPr>
                <w:sz w:val="20"/>
                <w:szCs w:val="20"/>
                <w:color w:val="auto"/>
              </w:rPr>
            </w:pPr>
            <w:r>
              <w:rPr>
                <w:rFonts w:ascii="Arial" w:cs="Arial" w:eastAsia="Arial" w:hAnsi="Arial"/>
                <w:sz w:val="14"/>
                <w:szCs w:val="14"/>
                <w:color w:val="auto"/>
              </w:rPr>
              <w:t>Stock-based compensation expense related to stock options,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20" w:type="dxa"/>
            <w:vAlign w:val="bottom"/>
          </w:tcPr>
          <w:p>
            <w:pPr>
              <w:ind w:left="40"/>
              <w:spacing w:after="0"/>
              <w:rPr>
                <w:sz w:val="20"/>
                <w:szCs w:val="20"/>
                <w:color w:val="auto"/>
              </w:rPr>
            </w:pPr>
            <w:r>
              <w:rPr>
                <w:rFonts w:ascii="Arial" w:cs="Arial" w:eastAsia="Arial" w:hAnsi="Arial"/>
                <w:sz w:val="14"/>
                <w:szCs w:val="14"/>
                <w:color w:val="auto"/>
              </w:rPr>
              <w:t>employee stock purchases and restricted stock</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18,376,965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18,376,965</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($.39 per share)</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(110,946,799)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(110,946,799)</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406,791,922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406,791,922</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8,464,688</w:t>
            </w:r>
          </w:p>
        </w:tc>
        <w:tc>
          <w:tcPr>
            <w:tcW w:w="1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8,464,688</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20" w:type="dxa"/>
            <w:vAlign w:val="bottom"/>
          </w:tcPr>
          <w:p>
            <w:pPr>
              <w:ind w:left="40"/>
              <w:spacing w:after="0"/>
              <w:rPr>
                <w:sz w:val="20"/>
                <w:szCs w:val="20"/>
                <w:color w:val="auto"/>
              </w:rPr>
            </w:pPr>
            <w:r>
              <w:rPr>
                <w:rFonts w:ascii="Arial" w:cs="Arial" w:eastAsia="Arial" w:hAnsi="Arial"/>
                <w:sz w:val="14"/>
                <w:szCs w:val="14"/>
                <w:color w:val="auto"/>
              </w:rPr>
              <w:t>BALANCE AS OF DECEMBER 31, 2017</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280,281,321</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16,816,879</w:t>
            </w:r>
          </w:p>
        </w:tc>
        <w:tc>
          <w:tcPr>
            <w:tcW w:w="1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$723,510,672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1,301,997,327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7,193,383</w:t>
            </w:r>
          </w:p>
        </w:tc>
        <w:tc>
          <w:tcPr>
            <w:tcW w:w="1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$2,049,518,261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98" w:right="239" w:bottom="1440" w:gutter="0" w:footer="0" w:header="0"/>
        </w:sectPr>
      </w:pPr>
    </w:p>
    <w:bookmarkStart w:id="43" w:name="page44"/>
    <w:bookmarkEnd w:id="43"/>
    <w:p>
      <w:pPr>
        <w:ind w:left="3780"/>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44" w:lineRule="exact"/>
        <w:rPr>
          <w:sz w:val="20"/>
          <w:szCs w:val="20"/>
          <w:color w:val="auto"/>
        </w:rPr>
      </w:pPr>
    </w:p>
    <w:p>
      <w:pPr>
        <w:ind w:left="3620"/>
        <w:spacing w:after="0"/>
        <w:rPr>
          <w:sz w:val="20"/>
          <w:szCs w:val="20"/>
          <w:color w:val="auto"/>
        </w:rPr>
      </w:pPr>
      <w:r>
        <w:rPr>
          <w:rFonts w:ascii="Arial" w:cs="Arial" w:eastAsia="Arial" w:hAnsi="Arial"/>
          <w:sz w:val="18"/>
          <w:szCs w:val="18"/>
          <w:u w:val="single" w:color="auto"/>
          <w:color w:val="auto"/>
        </w:rPr>
        <w:t>CONSOLIDATED STATEMENTS OF CASH FLOWS</w:t>
      </w:r>
    </w:p>
    <w:p>
      <w:pPr>
        <w:spacing w:after="0" w:line="144" w:lineRule="exact"/>
        <w:rPr>
          <w:sz w:val="20"/>
          <w:szCs w:val="20"/>
          <w:color w:val="auto"/>
        </w:rPr>
      </w:pPr>
    </w:p>
    <w:p>
      <w:pPr>
        <w:ind w:left="3000"/>
        <w:spacing w:after="0"/>
        <w:rPr>
          <w:sz w:val="20"/>
          <w:szCs w:val="20"/>
          <w:color w:val="auto"/>
        </w:rPr>
      </w:pPr>
      <w:r>
        <w:rPr>
          <w:rFonts w:ascii="Arial" w:cs="Arial" w:eastAsia="Arial" w:hAnsi="Arial"/>
          <w:sz w:val="18"/>
          <w:szCs w:val="18"/>
          <w:u w:val="single" w:color="auto"/>
          <w:color w:val="auto"/>
        </w:rPr>
        <w:t>FOR THE YEARS ENDED DECEMBER 31, 2017, 2016 AND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406,791,922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347,591,276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318,469,859</w:t>
            </w:r>
          </w:p>
        </w:tc>
      </w:tr>
      <w:tr>
        <w:trPr>
          <w:trHeight w:val="27"/>
        </w:trPr>
        <w:tc>
          <w:tcPr>
            <w:tcW w:w="6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63"/>
        </w:trPr>
        <w:tc>
          <w:tcPr>
            <w:tcW w:w="61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99,570,908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88,587,430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80,599,167</w:t>
            </w:r>
          </w:p>
        </w:tc>
      </w:tr>
      <w:tr>
        <w:trPr>
          <w:trHeight w:val="277"/>
        </w:trPr>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disposal of assets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w:t>
            </w:r>
          </w:p>
        </w:tc>
      </w:tr>
      <w:tr>
        <w:trPr>
          <w:trHeight w:val="263"/>
        </w:trPr>
        <w:tc>
          <w:tcPr>
            <w:tcW w:w="6120" w:type="dxa"/>
            <w:vAlign w:val="bottom"/>
          </w:tcPr>
          <w:p>
            <w:pPr>
              <w:ind w:left="500"/>
              <w:spacing w:after="0"/>
              <w:rPr>
                <w:sz w:val="20"/>
                <w:szCs w:val="20"/>
                <w:color w:val="auto"/>
              </w:rPr>
            </w:pPr>
            <w:r>
              <w:rPr>
                <w:rFonts w:ascii="Arial" w:cs="Arial" w:eastAsia="Arial" w:hAnsi="Arial"/>
                <w:sz w:val="18"/>
                <w:szCs w:val="18"/>
                <w:color w:val="auto"/>
              </w:rPr>
              <w:t>Loss on disposal of assets</w:t>
            </w:r>
          </w:p>
        </w:tc>
        <w:tc>
          <w:tcPr>
            <w:tcW w:w="3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299,174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1,080,486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455,950</w:t>
            </w:r>
          </w:p>
        </w:tc>
      </w:tr>
      <w:tr>
        <w:trPr>
          <w:trHeight w:val="277"/>
        </w:trPr>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sale of investments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(1,309,166)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(4,239,895)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(9,666,482)</w:t>
            </w:r>
          </w:p>
        </w:tc>
      </w:tr>
      <w:tr>
        <w:trPr>
          <w:trHeight w:val="263"/>
        </w:trPr>
        <w:tc>
          <w:tcPr>
            <w:tcW w:w="6120" w:type="dxa"/>
            <w:vAlign w:val="bottom"/>
          </w:tcPr>
          <w:p>
            <w:pPr>
              <w:ind w:left="500"/>
              <w:spacing w:after="0"/>
              <w:rPr>
                <w:sz w:val="20"/>
                <w:szCs w:val="20"/>
                <w:color w:val="auto"/>
              </w:rPr>
            </w:pPr>
            <w:r>
              <w:rPr>
                <w:rFonts w:ascii="Arial" w:cs="Arial" w:eastAsia="Arial" w:hAnsi="Arial"/>
                <w:sz w:val="18"/>
                <w:szCs w:val="18"/>
                <w:color w:val="auto"/>
              </w:rPr>
              <w:t>Loss on sale of investments</w:t>
            </w:r>
          </w:p>
        </w:tc>
        <w:tc>
          <w:tcPr>
            <w:tcW w:w="3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375,388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3,919,698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2,705,601</w:t>
            </w:r>
          </w:p>
        </w:tc>
      </w:tr>
      <w:tr>
        <w:trPr>
          <w:trHeight w:val="277"/>
        </w:trPr>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(14,996,179)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22,498,361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13,058,458</w:t>
            </w:r>
          </w:p>
        </w:tc>
      </w:tr>
      <w:tr>
        <w:trPr>
          <w:trHeight w:val="229"/>
        </w:trPr>
        <w:tc>
          <w:tcPr>
            <w:tcW w:w="6120" w:type="dxa"/>
            <w:vAlign w:val="bottom"/>
          </w:tcPr>
          <w:p>
            <w:pPr>
              <w:ind w:left="500"/>
              <w:spacing w:after="0"/>
              <w:rPr>
                <w:sz w:val="20"/>
                <w:szCs w:val="20"/>
                <w:color w:val="auto"/>
              </w:rPr>
            </w:pPr>
            <w:r>
              <w:rPr>
                <w:rFonts w:ascii="Arial" w:cs="Arial" w:eastAsia="Arial" w:hAnsi="Arial"/>
                <w:sz w:val="18"/>
                <w:szCs w:val="18"/>
                <w:color w:val="auto"/>
              </w:rPr>
              <w:t>Stock based compensation expense related to employee stock</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6120" w:type="dxa"/>
            <w:vAlign w:val="bottom"/>
          </w:tcPr>
          <w:p>
            <w:pPr>
              <w:ind w:left="500"/>
              <w:spacing w:after="0"/>
              <w:rPr>
                <w:sz w:val="20"/>
                <w:szCs w:val="20"/>
                <w:color w:val="auto"/>
              </w:rPr>
            </w:pPr>
            <w:r>
              <w:rPr>
                <w:rFonts w:ascii="Arial" w:cs="Arial" w:eastAsia="Arial" w:hAnsi="Arial"/>
                <w:sz w:val="18"/>
                <w:szCs w:val="18"/>
                <w:color w:val="auto"/>
              </w:rPr>
              <w:t>options, employee stock purchases and restricted stock</w:t>
            </w:r>
          </w:p>
        </w:tc>
        <w:tc>
          <w:tcPr>
            <w:tcW w:w="3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18,376,965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19,192,699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21,430,991</w:t>
            </w:r>
          </w:p>
        </w:tc>
      </w:tr>
      <w:tr>
        <w:trPr>
          <w:trHeight w:val="257"/>
        </w:trPr>
        <w:tc>
          <w:tcPr>
            <w:tcW w:w="6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operating assets and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63"/>
        </w:trPr>
        <w:tc>
          <w:tcPr>
            <w:tcW w:w="6120" w:type="dxa"/>
            <w:vAlign w:val="bottom"/>
          </w:tcPr>
          <w:p>
            <w:pPr>
              <w:ind w:left="8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(19,530,043)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(15,622,345)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(27,960,696)</w:t>
            </w:r>
          </w:p>
        </w:tc>
      </w:tr>
      <w:tr>
        <w:trPr>
          <w:trHeight w:val="277"/>
        </w:trPr>
        <w:tc>
          <w:tcPr>
            <w:tcW w:w="6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(27,454,146)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(14,616,026)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(32,937,525)</w:t>
            </w:r>
          </w:p>
        </w:tc>
      </w:tr>
      <w:tr>
        <w:trPr>
          <w:trHeight w:val="263"/>
        </w:trPr>
        <w:tc>
          <w:tcPr>
            <w:tcW w:w="6120" w:type="dxa"/>
            <w:vAlign w:val="bottom"/>
          </w:tcPr>
          <w:p>
            <w:pPr>
              <w:ind w:left="82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16,183,673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4,399,366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(9,530,002)</w:t>
            </w:r>
          </w:p>
        </w:tc>
      </w:tr>
      <w:tr>
        <w:trPr>
          <w:trHeight w:val="277"/>
        </w:trPr>
        <w:tc>
          <w:tcPr>
            <w:tcW w:w="6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9,934,837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13,609,856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(5,103,209)</w:t>
            </w:r>
          </w:p>
        </w:tc>
      </w:tr>
      <w:tr>
        <w:trPr>
          <w:trHeight w:val="264"/>
        </w:trPr>
        <w:tc>
          <w:tcPr>
            <w:tcW w:w="612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12,947,597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10,793,540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2,904,940</w:t>
            </w:r>
          </w:p>
        </w:tc>
      </w:tr>
      <w:tr>
        <w:trPr>
          <w:trHeight w:val="257"/>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flows from operating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501,002,780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477,048,185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354,416,152</w:t>
            </w:r>
          </w:p>
        </w:tc>
      </w:tr>
      <w:tr>
        <w:trPr>
          <w:trHeight w:val="223"/>
        </w:trPr>
        <w:tc>
          <w:tcPr>
            <w:tcW w:w="6120" w:type="dxa"/>
            <w:vAlign w:val="bottom"/>
          </w:tcPr>
          <w:p>
            <w:pPr>
              <w:ind w:left="40"/>
              <w:spacing w:after="0"/>
              <w:rPr>
                <w:sz w:val="20"/>
                <w:szCs w:val="20"/>
                <w:color w:val="auto"/>
              </w:rPr>
            </w:pPr>
            <w:r>
              <w:rPr>
                <w:rFonts w:ascii="Arial" w:cs="Arial" w:eastAsia="Arial" w:hAnsi="Arial"/>
                <w:sz w:val="18"/>
                <w:szCs w:val="18"/>
                <w:color w:val="auto"/>
              </w:rPr>
              <w:t>CASH FLOWS USED FOR INVESTING ACTIVITIES: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1"/>
        </w:trPr>
        <w:tc>
          <w:tcPr>
            <w:tcW w:w="6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Activity in available-for-sale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63"/>
        </w:trPr>
        <w:tc>
          <w:tcPr>
            <w:tcW w:w="6120" w:type="dxa"/>
            <w:vAlign w:val="bottom"/>
          </w:tcPr>
          <w:p>
            <w:pPr>
              <w:ind w:left="720"/>
              <w:spacing w:after="0"/>
              <w:rPr>
                <w:sz w:val="20"/>
                <w:szCs w:val="20"/>
                <w:color w:val="auto"/>
              </w:rPr>
            </w:pPr>
            <w:r>
              <w:rPr>
                <w:rFonts w:ascii="Arial" w:cs="Arial" w:eastAsia="Arial" w:hAnsi="Arial"/>
                <w:sz w:val="18"/>
                <w:szCs w:val="18"/>
                <w:color w:val="auto"/>
              </w:rPr>
              <w:t>Sales proceeds</w:t>
            </w:r>
          </w:p>
        </w:tc>
        <w:tc>
          <w:tcPr>
            <w:tcW w:w="3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30,207,523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87,293,155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58,517,164</w:t>
            </w:r>
          </w:p>
        </w:tc>
      </w:tr>
      <w:tr>
        <w:trPr>
          <w:trHeight w:val="277"/>
        </w:trPr>
        <w:tc>
          <w:tcPr>
            <w:tcW w:w="6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Maturities and calls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23,100,000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6120" w:type="dxa"/>
            <w:vAlign w:val="bottom"/>
          </w:tcPr>
          <w:p>
            <w:pPr>
              <w:ind w:left="720"/>
              <w:spacing w:after="0"/>
              <w:rPr>
                <w:sz w:val="20"/>
                <w:szCs w:val="20"/>
                <w:color w:val="auto"/>
              </w:rPr>
            </w:pPr>
            <w:r>
              <w:rPr>
                <w:rFonts w:ascii="Arial" w:cs="Arial" w:eastAsia="Arial" w:hAnsi="Arial"/>
                <w:sz w:val="18"/>
                <w:szCs w:val="18"/>
                <w:color w:val="auto"/>
              </w:rPr>
              <w:t>Purchases</w:t>
            </w:r>
          </w:p>
        </w:tc>
        <w:tc>
          <w:tcPr>
            <w:tcW w:w="3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(29,874,960)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(216,670,674)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(47,513,972)</w:t>
            </w:r>
          </w:p>
        </w:tc>
      </w:tr>
      <w:tr>
        <w:trPr>
          <w:trHeight w:val="277"/>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Plant and equipment additions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(104,040,919)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(120,955,614)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(97,941,762)</w:t>
            </w:r>
          </w:p>
        </w:tc>
      </w:tr>
      <w:tr>
        <w:trPr>
          <w:trHeight w:val="263"/>
        </w:trPr>
        <w:tc>
          <w:tcPr>
            <w:tcW w:w="6120" w:type="dxa"/>
            <w:vAlign w:val="bottom"/>
          </w:tcPr>
          <w:p>
            <w:pPr>
              <w:ind w:left="380"/>
              <w:spacing w:after="0"/>
              <w:rPr>
                <w:sz w:val="20"/>
                <w:szCs w:val="20"/>
                <w:color w:val="auto"/>
              </w:rPr>
            </w:pPr>
            <w:r>
              <w:rPr>
                <w:rFonts w:ascii="Arial" w:cs="Arial" w:eastAsia="Arial" w:hAnsi="Arial"/>
                <w:sz w:val="18"/>
                <w:szCs w:val="18"/>
                <w:color w:val="auto"/>
              </w:rPr>
              <w:t>Proceeds from sale of plant and equipment</w:t>
            </w:r>
          </w:p>
        </w:tc>
        <w:tc>
          <w:tcPr>
            <w:tcW w:w="3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249,757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665,191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43,544</w:t>
            </w:r>
          </w:p>
        </w:tc>
      </w:tr>
      <w:tr>
        <w:trPr>
          <w:trHeight w:val="277"/>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other assets</w:t>
            </w: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2,646,029</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(7,278,166)</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(2,842,635)</w:t>
            </w:r>
          </w:p>
        </w:tc>
      </w:tr>
      <w:tr>
        <w:trPr>
          <w:trHeight w:val="244"/>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(77,712,570)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(251,446,108)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(89,737,661)</w:t>
            </w: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FOR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63"/>
        </w:trPr>
        <w:tc>
          <w:tcPr>
            <w:tcW w:w="6120" w:type="dxa"/>
            <w:vAlign w:val="bottom"/>
          </w:tcPr>
          <w:p>
            <w:pPr>
              <w:ind w:left="380"/>
              <w:spacing w:after="0"/>
              <w:rPr>
                <w:sz w:val="20"/>
                <w:szCs w:val="20"/>
                <w:color w:val="auto"/>
              </w:rPr>
            </w:pPr>
            <w:r>
              <w:rPr>
                <w:rFonts w:ascii="Arial" w:cs="Arial" w:eastAsia="Arial" w:hAnsi="Arial"/>
                <w:sz w:val="18"/>
                <w:szCs w:val="18"/>
                <w:color w:val="auto"/>
              </w:rPr>
              <w:t>Repayment of long-term debt</w:t>
            </w:r>
          </w:p>
        </w:tc>
        <w:tc>
          <w:tcPr>
            <w:tcW w:w="3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(107,625,000)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(47,500,000)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(32,500,000)</w:t>
            </w:r>
          </w:p>
        </w:tc>
      </w:tr>
      <w:tr>
        <w:trPr>
          <w:trHeight w:val="277"/>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Issuance of common stock from stock plan transactions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47,770,467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81,310,048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30,168,496</w:t>
            </w:r>
          </w:p>
        </w:tc>
      </w:tr>
      <w:tr>
        <w:trPr>
          <w:trHeight w:val="263"/>
        </w:trPr>
        <w:tc>
          <w:tcPr>
            <w:tcW w:w="6120" w:type="dxa"/>
            <w:vAlign w:val="bottom"/>
          </w:tcPr>
          <w:p>
            <w:pPr>
              <w:ind w:left="38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(108,815,040)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(101,131,356)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(96,990,439)</w:t>
            </w:r>
          </w:p>
        </w:tc>
      </w:tr>
      <w:tr>
        <w:trPr>
          <w:trHeight w:val="277"/>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Repurchases of common stock</w:t>
            </w: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(231,363,216)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(163,361,221)</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(111,228,825)</w:t>
            </w:r>
          </w:p>
        </w:tc>
      </w:tr>
      <w:tr>
        <w:trPr>
          <w:trHeight w:val="244"/>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(400,032,789)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(230,682,529)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(210,550,768)</w:t>
            </w:r>
          </w:p>
        </w:tc>
      </w:tr>
      <w:tr>
        <w:trPr>
          <w:trHeight w:val="257"/>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23,257,421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(5,080,452)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54,127,723</w:t>
            </w:r>
          </w:p>
        </w:tc>
      </w:tr>
      <w:tr>
        <w:trPr>
          <w:trHeight w:val="264"/>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546,477,075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551,557,527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497,429,804</w:t>
            </w: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569,734,496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546,477,075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551,557,527</w:t>
            </w:r>
          </w:p>
        </w:tc>
      </w:tr>
      <w:tr>
        <w:trPr>
          <w:trHeight w:val="20"/>
        </w:trPr>
        <w:tc>
          <w:tcPr>
            <w:tcW w:w="6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598" w:right="29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900" w:firstLine="8"/>
        <w:spacing w:after="0" w:line="40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AND REPORTING POLICIES </w:t>
      </w:r>
      <w:r>
        <w:rPr>
          <w:rFonts w:ascii="Arial" w:cs="Arial" w:eastAsia="Arial" w:hAnsi="Arial"/>
          <w:sz w:val="18"/>
          <w:szCs w:val="18"/>
          <w:u w:val="single" w:color="auto"/>
          <w:color w:val="auto"/>
        </w:rPr>
        <w:t>The Company</w:t>
      </w:r>
    </w:p>
    <w:p>
      <w:pPr>
        <w:jc w:val="both"/>
        <w:spacing w:after="0" w:line="253" w:lineRule="auto"/>
        <w:rPr>
          <w:sz w:val="20"/>
          <w:szCs w:val="20"/>
          <w:color w:val="auto"/>
        </w:rPr>
      </w:pPr>
      <w:r>
        <w:rPr>
          <w:rFonts w:ascii="Arial" w:cs="Arial" w:eastAsia="Arial" w:hAnsi="Arial"/>
          <w:sz w:val="18"/>
          <w:szCs w:val="18"/>
          <w:color w:val="auto"/>
        </w:rPr>
        <w:t>Gentex Corporation designs and manufactures automatic-dimming rearview mirrors and electronics for the automotive industry, dimmable aircraft windows for the aviation industry, and commercial smoke alarms and signaling devices for the fire protection industry. The Company’s largest business segment involves designing, developing, manufacturing and marketing interior and exterior automatic-dimming automotive rearview mirrors and various electronic modules. The Company ships its product to all of the major automotive producing regions worldwide, which it supports with numerous sales, engineering and distribution locations worldwide.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substantial portion of the Company’s net sales and accounts receivable result from transactions with domestic and foreign automotive manufacturers and Tier 1 suppliers. Aircraft windows are sold for use by aircraft manufacturers and a Tier 1 supplier. The Company’s fire protection products are primarily sold to domestic distributors and original equipment manufacturers of fire and security systems. The Company does not require collateral or other security for trade accounts receivable.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Significant accounting policies of the Company not described elsewhere are as follows: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Consolidation</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of funds invested in bank accounts and money market funds that have daily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Doubtful Accounts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bases its allowances for doubtful accounts related to receivables on historical credit and collections experience, and the specific identification of other potential problems impacting collectability, including the economic climate. Actual collections can differ, requiring adjustments to the allowances. Individual accounts receivable balances are evaluated on a monthly basis, and those balances considered uncollectible are charged to the allowance. Collections of amounts previously written off are recorded as an increase to the allowance.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the Company’s allowance for doubtful accounts: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(Reductions)</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Beginning</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 Costs and</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and Other</w:t>
            </w:r>
          </w:p>
        </w:tc>
        <w:tc>
          <w:tcPr>
            <w:tcW w:w="280" w:type="dxa"/>
            <w:vAlign w:val="bottom"/>
          </w:tcPr>
          <w:p>
            <w:pPr>
              <w:spacing w:after="0"/>
              <w:rPr>
                <w:sz w:val="14"/>
                <w:szCs w:val="14"/>
                <w:color w:val="auto"/>
              </w:rPr>
            </w:pPr>
          </w:p>
        </w:tc>
        <w:tc>
          <w:tcPr>
            <w:tcW w:w="1160" w:type="dxa"/>
            <w:vAlign w:val="bottom"/>
          </w:tcPr>
          <w:p>
            <w:pPr>
              <w:jc w:val="right"/>
              <w:ind w:right="397"/>
              <w:spacing w:after="0"/>
              <w:rPr>
                <w:sz w:val="20"/>
                <w:szCs w:val="20"/>
                <w:color w:val="auto"/>
              </w:rPr>
            </w:pPr>
            <w:r>
              <w:rPr>
                <w:rFonts w:ascii="Arial" w:cs="Arial" w:eastAsia="Arial" w:hAnsi="Arial"/>
                <w:sz w:val="14"/>
                <w:szCs w:val="14"/>
                <w:b w:val="1"/>
                <w:bCs w:val="1"/>
                <w:color w:val="auto"/>
              </w:rPr>
              <w:t>Ending</w:t>
            </w:r>
          </w:p>
        </w:tc>
      </w:tr>
      <w:tr>
        <w:trPr>
          <w:trHeight w:val="196"/>
        </w:trPr>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7"/>
                <w:szCs w:val="17"/>
                <w:color w:val="auto"/>
              </w:rPr>
            </w:pPr>
          </w:p>
        </w:tc>
        <w:tc>
          <w:tcPr>
            <w:tcW w:w="1160" w:type="dxa"/>
            <w:vAlign w:val="bottom"/>
          </w:tcPr>
          <w:p>
            <w:pPr>
              <w:jc w:val="right"/>
              <w:ind w:right="357"/>
              <w:spacing w:after="0"/>
              <w:rPr>
                <w:sz w:val="20"/>
                <w:szCs w:val="20"/>
                <w:color w:val="auto"/>
              </w:rPr>
            </w:pPr>
            <w:r>
              <w:rPr>
                <w:rFonts w:ascii="Arial" w:cs="Arial" w:eastAsia="Arial" w:hAnsi="Arial"/>
                <w:sz w:val="14"/>
                <w:szCs w:val="14"/>
                <w:b w:val="1"/>
                <w:bCs w:val="1"/>
                <w:color w:val="auto"/>
              </w:rPr>
              <w:t>Balance</w:t>
            </w:r>
          </w:p>
        </w:tc>
      </w:tr>
      <w:tr>
        <w:trPr>
          <w:trHeight w:val="250"/>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8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2,917,424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(202,891)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2,714,533</w:t>
            </w: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3"/>
        </w:trPr>
        <w:tc>
          <w:tcPr>
            <w:tcW w:w="48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2,663,477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253,947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2,917,424</w:t>
            </w: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57"/>
        </w:trPr>
        <w:tc>
          <w:tcPr>
            <w:tcW w:w="48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2,711,248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(47,771)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2,663,477</w:t>
            </w:r>
          </w:p>
        </w:tc>
      </w:tr>
    </w:tbl>
    <w:p>
      <w:pPr>
        <w:spacing w:after="0" w:line="31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Company’s overall allowance for doubtful accounts primarily relates to financially distressed automotive customers. The Company continues to work with these financially distressed customers in collecting past due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follows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 on earnings. The cost of securities sold is based on the specific identification method.</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common stocks and certain mutual funds are classified as available for sale and are stated at fair value based on quoted market prices, and as such are classified as Level 1 assets. The Company determines the fair value of its government securities, corporate bonds, and certain mutual funds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2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Company's certificates of deposit have remaining maturities of less than one year and are classified as available for sale, and are considered as Level 1 assets. These investments are carried at cost, which approximates fair value.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that have recurring fair value measurements are shown below as of December 31, 2017 and December 31, 2016:</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gridSpan w:val="7"/>
          </w:tcPr>
          <w:p>
            <w:pPr>
              <w:jc w:val="center"/>
              <w:ind w:right="135"/>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75"/>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62"/>
        </w:trPr>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Active Markets</w:t>
            </w: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4"/>
                <w:szCs w:val="14"/>
                <w:color w:val="auto"/>
              </w:rPr>
            </w:pPr>
          </w:p>
        </w:tc>
        <w:tc>
          <w:tcPr>
            <w:tcW w:w="1560" w:type="dxa"/>
            <w:vAlign w:val="bottom"/>
          </w:tcPr>
          <w:p>
            <w:pPr>
              <w:jc w:val="center"/>
              <w:ind w:right="195"/>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560" w:type="dxa"/>
            <w:vAlign w:val="bottom"/>
          </w:tcPr>
          <w:p>
            <w:pPr>
              <w:jc w:val="center"/>
              <w:ind w:right="195"/>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ind w:right="593"/>
              <w:spacing w:after="0"/>
              <w:rPr>
                <w:sz w:val="20"/>
                <w:szCs w:val="20"/>
                <w:color w:val="auto"/>
              </w:rPr>
            </w:pPr>
            <w:r>
              <w:rPr>
                <w:rFonts w:ascii="Arial" w:cs="Arial" w:eastAsia="Arial" w:hAnsi="Arial"/>
                <w:sz w:val="14"/>
                <w:szCs w:val="14"/>
                <w:b w:val="1"/>
                <w:bCs w:val="1"/>
                <w:color w:val="auto"/>
              </w:rPr>
              <w:t>Total as of</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Inputs</w:t>
            </w:r>
          </w:p>
        </w:tc>
      </w:tr>
      <w:tr>
        <w:trPr>
          <w:trHeight w:val="250"/>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(Level I)</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(Level 3)</w:t>
            </w:r>
          </w:p>
        </w:tc>
      </w:tr>
      <w:tr>
        <w:trPr>
          <w:trHeight w:val="256"/>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569,734,496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569,734,496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130,000,000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130,000,000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63"/>
        </w:trPr>
        <w:tc>
          <w:tcPr>
            <w:tcW w:w="3520" w:type="dxa"/>
            <w:vAlign w:val="bottom"/>
          </w:tcPr>
          <w:p>
            <w:pPr>
              <w:ind w:left="380"/>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spacing w:after="0"/>
              <w:rPr>
                <w:sz w:val="22"/>
                <w:szCs w:val="22"/>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9,011,130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9,011,130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77"/>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393,581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393,581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63"/>
        </w:trPr>
        <w:tc>
          <w:tcPr>
            <w:tcW w:w="352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2"/>
                <w:szCs w:val="22"/>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12,944,999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12,944,999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77"/>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188,344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188,344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3,018,720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3,018,720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63"/>
        </w:trPr>
        <w:tc>
          <w:tcPr>
            <w:tcW w:w="3520" w:type="dxa"/>
            <w:vAlign w:val="bottom"/>
          </w:tcPr>
          <w:p>
            <w:pPr>
              <w:ind w:left="380"/>
              <w:spacing w:after="0"/>
              <w:rPr>
                <w:sz w:val="20"/>
                <w:szCs w:val="20"/>
                <w:color w:val="auto"/>
              </w:rPr>
            </w:pPr>
            <w:r>
              <w:rPr>
                <w:rFonts w:ascii="Arial" w:cs="Arial" w:eastAsia="Arial" w:hAnsi="Arial"/>
                <w:sz w:val="18"/>
                <w:szCs w:val="18"/>
                <w:color w:val="auto"/>
              </w:rPr>
              <w:t>Common Stocks</w:t>
            </w:r>
          </w:p>
        </w:tc>
        <w:tc>
          <w:tcPr>
            <w:tcW w:w="260" w:type="dxa"/>
            <w:vAlign w:val="bottom"/>
          </w:tcPr>
          <w:p>
            <w:pPr>
              <w:spacing w:after="0"/>
              <w:rPr>
                <w:sz w:val="22"/>
                <w:szCs w:val="22"/>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15,703,371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15,703,371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56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77"/>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34,681,337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34,681,337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64"/>
        </w:trPr>
        <w:tc>
          <w:tcPr>
            <w:tcW w:w="3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Preferred Stock</w:t>
            </w: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1,178,991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1,178,991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50"/>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776,854,969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751,486,539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25,368,430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360" w:type="dxa"/>
            <w:vAlign w:val="bottom"/>
            <w:tcBorders>
              <w:bottom w:val="single" w:sz="8" w:color="auto"/>
            </w:tcBorders>
            <w:gridSpan w:val="7"/>
          </w:tcPr>
          <w:p>
            <w:pPr>
              <w:ind w:left="860"/>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75"/>
        </w:trPr>
        <w:tc>
          <w:tcPr>
            <w:tcW w:w="3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62"/>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Active Markets</w:t>
            </w: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 Other</w:t>
            </w:r>
          </w:p>
        </w:tc>
        <w:tc>
          <w:tcPr>
            <w:tcW w:w="260" w:type="dxa"/>
            <w:vAlign w:val="bottom"/>
          </w:tcPr>
          <w:p>
            <w:pPr>
              <w:spacing w:after="0"/>
              <w:rPr>
                <w:sz w:val="14"/>
                <w:szCs w:val="14"/>
                <w:color w:val="auto"/>
              </w:rPr>
            </w:pPr>
          </w:p>
        </w:tc>
        <w:tc>
          <w:tcPr>
            <w:tcW w:w="1460" w:type="dxa"/>
            <w:vAlign w:val="bottom"/>
          </w:tcPr>
          <w:p>
            <w:pPr>
              <w:jc w:val="center"/>
              <w:ind w:right="154"/>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460" w:type="dxa"/>
            <w:vAlign w:val="bottom"/>
          </w:tcPr>
          <w:p>
            <w:pPr>
              <w:jc w:val="center"/>
              <w:ind w:right="174"/>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 as of</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Inputs</w:t>
            </w:r>
          </w:p>
        </w:tc>
      </w:tr>
      <w:tr>
        <w:trPr>
          <w:trHeight w:val="250"/>
        </w:trPr>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(Level I)</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(Level 3)</w:t>
            </w:r>
          </w:p>
        </w:tc>
      </w:tr>
      <w:tr>
        <w:trPr>
          <w:trHeight w:val="256"/>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546,477,075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546,477,075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Certificate of Deposit</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130,000,000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130,000,000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63"/>
        </w:trPr>
        <w:tc>
          <w:tcPr>
            <w:tcW w:w="3760" w:type="dxa"/>
            <w:vAlign w:val="bottom"/>
          </w:tcPr>
          <w:p>
            <w:pPr>
              <w:ind w:left="380"/>
              <w:spacing w:after="0"/>
              <w:rPr>
                <w:sz w:val="20"/>
                <w:szCs w:val="20"/>
                <w:color w:val="auto"/>
              </w:rPr>
            </w:pPr>
            <w:r>
              <w:rPr>
                <w:rFonts w:ascii="Arial" w:cs="Arial" w:eastAsia="Arial" w:hAnsi="Arial"/>
                <w:sz w:val="18"/>
                <w:szCs w:val="18"/>
                <w:color w:val="auto"/>
              </w:rPr>
              <w:t>Government Securities</w:t>
            </w:r>
          </w:p>
        </w:tc>
        <w:tc>
          <w:tcPr>
            <w:tcW w:w="220" w:type="dxa"/>
            <w:vAlign w:val="bottom"/>
          </w:tcPr>
          <w:p>
            <w:pPr>
              <w:spacing w:after="0"/>
              <w:rPr>
                <w:sz w:val="22"/>
                <w:szCs w:val="22"/>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13,993,480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13,993,480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26,116,681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26,116,681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63"/>
        </w:trPr>
        <w:tc>
          <w:tcPr>
            <w:tcW w:w="376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2"/>
                <w:szCs w:val="22"/>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6,698,382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6,698,382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212,653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212,653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1,948,556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1,948,556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63"/>
        </w:trPr>
        <w:tc>
          <w:tcPr>
            <w:tcW w:w="3760" w:type="dxa"/>
            <w:vAlign w:val="bottom"/>
          </w:tcPr>
          <w:p>
            <w:pPr>
              <w:ind w:left="380"/>
              <w:spacing w:after="0"/>
              <w:rPr>
                <w:sz w:val="20"/>
                <w:szCs w:val="20"/>
                <w:color w:val="auto"/>
              </w:rPr>
            </w:pPr>
            <w:r>
              <w:rPr>
                <w:rFonts w:ascii="Arial" w:cs="Arial" w:eastAsia="Arial" w:hAnsi="Arial"/>
                <w:sz w:val="18"/>
                <w:szCs w:val="18"/>
                <w:color w:val="auto"/>
              </w:rPr>
              <w:t>Common Stocks</w:t>
            </w:r>
          </w:p>
        </w:tc>
        <w:tc>
          <w:tcPr>
            <w:tcW w:w="220" w:type="dxa"/>
            <w:vAlign w:val="bottom"/>
          </w:tcPr>
          <w:p>
            <w:pPr>
              <w:spacing w:after="0"/>
              <w:rPr>
                <w:sz w:val="22"/>
                <w:szCs w:val="22"/>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12,849,007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12,849,007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28,872,010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28,872,010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63"/>
        </w:trPr>
        <w:tc>
          <w:tcPr>
            <w:tcW w:w="376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22"/>
                <w:szCs w:val="22"/>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714,000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714,000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Government Securities</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5,510,790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5,510,790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44"/>
        </w:trPr>
        <w:tc>
          <w:tcPr>
            <w:tcW w:w="37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773,392,634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719,124,745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54,267,889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rPr>
              <w:t>—</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market value of investment securities are shown as of December 31, 2017 and 2016:</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973"/>
              <w:spacing w:after="0"/>
              <w:rPr>
                <w:sz w:val="20"/>
                <w:szCs w:val="20"/>
                <w:color w:val="auto"/>
              </w:rPr>
            </w:pPr>
            <w:r>
              <w:rPr>
                <w:rFonts w:ascii="Arial" w:cs="Arial" w:eastAsia="Arial" w:hAnsi="Arial"/>
                <w:sz w:val="14"/>
                <w:szCs w:val="14"/>
                <w:b w:val="1"/>
                <w:bCs w:val="1"/>
                <w:color w:val="auto"/>
              </w:rPr>
              <w:t>Unrealized</w:t>
            </w: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229"/>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9"/>
                <w:szCs w:val="19"/>
                <w:color w:val="auto"/>
              </w:rPr>
            </w:pPr>
          </w:p>
        </w:tc>
        <w:tc>
          <w:tcPr>
            <w:tcW w:w="1240" w:type="dxa"/>
            <w:vAlign w:val="bottom"/>
          </w:tcPr>
          <w:p>
            <w:pPr>
              <w:jc w:val="right"/>
              <w:ind w:right="51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Gains</w:t>
            </w:r>
          </w:p>
        </w:tc>
        <w:tc>
          <w:tcPr>
            <w:tcW w:w="52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9"/>
                <w:szCs w:val="19"/>
                <w:color w:val="auto"/>
              </w:rPr>
            </w:pPr>
          </w:p>
        </w:tc>
        <w:tc>
          <w:tcPr>
            <w:tcW w:w="1620" w:type="dxa"/>
            <w:vAlign w:val="bottom"/>
          </w:tcPr>
          <w:p>
            <w:pPr>
              <w:jc w:val="right"/>
              <w:ind w:right="452"/>
              <w:spacing w:after="0"/>
              <w:rPr>
                <w:sz w:val="20"/>
                <w:szCs w:val="20"/>
                <w:color w:val="auto"/>
              </w:rPr>
            </w:pPr>
            <w:r>
              <w:rPr>
                <w:rFonts w:ascii="Arial" w:cs="Arial" w:eastAsia="Arial" w:hAnsi="Arial"/>
                <w:sz w:val="14"/>
                <w:szCs w:val="14"/>
                <w:b w:val="1"/>
                <w:bCs w:val="1"/>
                <w:color w:val="auto"/>
              </w:rPr>
              <w:t>Market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Certificate of Deposit</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130,000,000</w:t>
            </w: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130,000,000</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Securities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9,024,777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9,011,130</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392,482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393,581</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12,952,229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12,944,999</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188,344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188,344</w:t>
            </w:r>
          </w:p>
        </w:tc>
      </w:tr>
      <w:tr>
        <w:trPr>
          <w:trHeight w:val="25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3,022,994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(4,274)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3,018,720</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10,897,219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5,079,815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(273,663)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15,703,371</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29,306,540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5,440,344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(65,547)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34,681,337</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1,141,458</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40,533</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1,178,991</w:t>
            </w:r>
          </w:p>
        </w:tc>
      </w:tr>
      <w:tr>
        <w:trPr>
          <w:trHeight w:val="244"/>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196,926,043</w:t>
            </w: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10,562,267</w:t>
            </w:r>
          </w:p>
        </w:tc>
        <w:tc>
          <w:tcPr>
            <w:tcW w:w="120" w:type="dxa"/>
            <w:vAlign w:val="bottom"/>
          </w:tcPr>
          <w:p>
            <w:pPr>
              <w:spacing w:after="0"/>
              <w:rPr>
                <w:sz w:val="21"/>
                <w:szCs w:val="21"/>
                <w:color w:val="auto"/>
              </w:rPr>
            </w:pPr>
          </w:p>
        </w:tc>
        <w:tc>
          <w:tcPr>
            <w:tcW w:w="52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(367,837)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207,120,473</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46</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229"/>
        </w:trPr>
        <w:tc>
          <w:tcPr>
            <w:tcW w:w="4100" w:type="dxa"/>
            <w:vAlign w:val="bottom"/>
            <w:gridSpan w:val="3"/>
          </w:tcPr>
          <w:p>
            <w:pPr>
              <w:ind w:left="40"/>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9"/>
                <w:szCs w:val="19"/>
                <w:color w:val="auto"/>
              </w:rPr>
            </w:pPr>
          </w:p>
        </w:tc>
        <w:tc>
          <w:tcPr>
            <w:tcW w:w="1460" w:type="dxa"/>
            <w:vAlign w:val="bottom"/>
            <w:gridSpan w:val="2"/>
          </w:tcPr>
          <w:p>
            <w:pPr>
              <w:ind w:left="34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9"/>
                <w:szCs w:val="19"/>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9"/>
                <w:szCs w:val="19"/>
                <w:color w:val="auto"/>
              </w:rPr>
            </w:pPr>
          </w:p>
        </w:tc>
        <w:tc>
          <w:tcPr>
            <w:tcW w:w="1540" w:type="dxa"/>
            <w:vAlign w:val="bottom"/>
          </w:tcPr>
          <w:p>
            <w:pPr>
              <w:jc w:val="right"/>
              <w:ind w:right="391"/>
              <w:spacing w:after="0"/>
              <w:rPr>
                <w:sz w:val="20"/>
                <w:szCs w:val="20"/>
                <w:color w:val="auto"/>
              </w:rPr>
            </w:pPr>
            <w:r>
              <w:rPr>
                <w:rFonts w:ascii="Arial" w:cs="Arial" w:eastAsia="Arial" w:hAnsi="Arial"/>
                <w:sz w:val="14"/>
                <w:szCs w:val="14"/>
                <w:b w:val="1"/>
                <w:bCs w:val="1"/>
                <w:color w:val="auto"/>
              </w:rPr>
              <w:t>Market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4"/>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Certificate of Deposit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130,000,000</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130,000,000</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Securities</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14,003,644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13,993,480</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26,326,674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27,459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(237,452)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26,116,681</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6,706,721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6,698,382</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212,653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212,653</w:t>
            </w:r>
          </w:p>
        </w:tc>
      </w:tr>
      <w:tr>
        <w:trPr>
          <w:trHeight w:val="257"/>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1,955,292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(6,736)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1,948,556</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Stocks</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9,825,550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3,349,962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12,849,007</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27,329,164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1,830,992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(288,146)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28,872,010</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745,462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714,000</w:t>
            </w:r>
          </w:p>
        </w:tc>
      </w:tr>
      <w:tr>
        <w:trPr>
          <w:trHeight w:val="264"/>
        </w:trPr>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Government Securities</w:t>
            </w: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5,519,668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5,510,790</w:t>
            </w:r>
          </w:p>
        </w:tc>
      </w:tr>
      <w:tr>
        <w:trPr>
          <w:trHeight w:val="250"/>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222,624,828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5,209,434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226,915,559</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December 31, 2017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2280" w:type="dxa"/>
            <w:vAlign w:val="bottom"/>
            <w:gridSpan w:val="3"/>
          </w:tcPr>
          <w:p>
            <w:pPr>
              <w:ind w:left="80"/>
              <w:spacing w:after="0"/>
              <w:rPr>
                <w:sz w:val="20"/>
                <w:szCs w:val="20"/>
                <w:color w:val="auto"/>
              </w:rPr>
            </w:pPr>
            <w:r>
              <w:rPr>
                <w:rFonts w:ascii="Arial" w:cs="Arial" w:eastAsia="Arial" w:hAnsi="Arial"/>
                <w:sz w:val="14"/>
                <w:szCs w:val="14"/>
                <w:b w:val="1"/>
                <w:bCs w:val="1"/>
                <w:color w:val="auto"/>
              </w:rPr>
              <w:t>Aggregate Unrealized Losses</w:t>
            </w:r>
          </w:p>
        </w:tc>
        <w:tc>
          <w:tcPr>
            <w:tcW w:w="260" w:type="dxa"/>
            <w:vAlign w:val="bottom"/>
          </w:tcPr>
          <w:p>
            <w:pPr>
              <w:spacing w:after="0"/>
              <w:rPr>
                <w:sz w:val="17"/>
                <w:szCs w:val="17"/>
                <w:color w:val="auto"/>
              </w:rPr>
            </w:pPr>
          </w:p>
        </w:tc>
        <w:tc>
          <w:tcPr>
            <w:tcW w:w="1920" w:type="dxa"/>
            <w:vAlign w:val="bottom"/>
          </w:tcPr>
          <w:p>
            <w:pPr>
              <w:jc w:val="right"/>
              <w:ind w:right="294"/>
              <w:spacing w:after="0"/>
              <w:rPr>
                <w:sz w:val="20"/>
                <w:szCs w:val="20"/>
                <w:color w:val="auto"/>
              </w:rPr>
            </w:pPr>
            <w:r>
              <w:rPr>
                <w:rFonts w:ascii="Arial" w:cs="Arial" w:eastAsia="Arial" w:hAnsi="Arial"/>
                <w:sz w:val="14"/>
                <w:szCs w:val="14"/>
                <w:b w:val="1"/>
                <w:bCs w:val="1"/>
                <w:color w:val="auto"/>
              </w:rPr>
              <w:t>Aggregate Fair Value</w:t>
            </w:r>
          </w:p>
        </w:tc>
        <w:tc>
          <w:tcPr>
            <w:tcW w:w="0" w:type="dxa"/>
            <w:vAlign w:val="bottom"/>
          </w:tcPr>
          <w:p>
            <w:pPr>
              <w:spacing w:after="0"/>
              <w:rPr>
                <w:sz w:val="1"/>
                <w:szCs w:val="1"/>
                <w:color w:val="auto"/>
              </w:rPr>
            </w:pPr>
          </w:p>
        </w:tc>
      </w:tr>
      <w:tr>
        <w:trPr>
          <w:trHeight w:val="256"/>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one year</w:t>
            </w:r>
          </w:p>
        </w:tc>
        <w:tc>
          <w:tcPr>
            <w:tcW w:w="78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263,655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31,223,557</w:t>
            </w: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Greater than one year</w:t>
            </w:r>
          </w:p>
        </w:tc>
        <w:tc>
          <w:tcPr>
            <w:tcW w:w="7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104,182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285,077</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367,837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31,508,634</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Unrealized losses on investments as of December 31, 2016 are as follows:</w:t>
            </w: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9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960" w:type="dxa"/>
            <w:vAlign w:val="bottom"/>
          </w:tcPr>
          <w:p>
            <w:pPr>
              <w:spacing w:after="0"/>
              <w:rPr>
                <w:sz w:val="24"/>
                <w:szCs w:val="24"/>
                <w:color w:val="auto"/>
              </w:rPr>
            </w:pPr>
          </w:p>
        </w:tc>
        <w:tc>
          <w:tcPr>
            <w:tcW w:w="2280" w:type="dxa"/>
            <w:vAlign w:val="bottom"/>
            <w:gridSpan w:val="3"/>
          </w:tcPr>
          <w:p>
            <w:pPr>
              <w:ind w:left="80"/>
              <w:spacing w:after="0"/>
              <w:rPr>
                <w:sz w:val="20"/>
                <w:szCs w:val="20"/>
                <w:color w:val="auto"/>
              </w:rPr>
            </w:pPr>
            <w:r>
              <w:rPr>
                <w:rFonts w:ascii="Arial" w:cs="Arial" w:eastAsia="Arial" w:hAnsi="Arial"/>
                <w:sz w:val="14"/>
                <w:szCs w:val="14"/>
                <w:b w:val="1"/>
                <w:bCs w:val="1"/>
                <w:color w:val="auto"/>
              </w:rPr>
              <w:t>Aggregate Unrealized Losses</w:t>
            </w:r>
          </w:p>
        </w:tc>
        <w:tc>
          <w:tcPr>
            <w:tcW w:w="260" w:type="dxa"/>
            <w:vAlign w:val="bottom"/>
          </w:tcPr>
          <w:p>
            <w:pPr>
              <w:spacing w:after="0"/>
              <w:rPr>
                <w:sz w:val="24"/>
                <w:szCs w:val="24"/>
                <w:color w:val="auto"/>
              </w:rPr>
            </w:pPr>
          </w:p>
        </w:tc>
        <w:tc>
          <w:tcPr>
            <w:tcW w:w="1920" w:type="dxa"/>
            <w:vAlign w:val="bottom"/>
          </w:tcPr>
          <w:p>
            <w:pPr>
              <w:jc w:val="right"/>
              <w:ind w:right="294"/>
              <w:spacing w:after="0"/>
              <w:rPr>
                <w:sz w:val="20"/>
                <w:szCs w:val="20"/>
                <w:color w:val="auto"/>
              </w:rPr>
            </w:pPr>
            <w:r>
              <w:rPr>
                <w:rFonts w:ascii="Arial" w:cs="Arial" w:eastAsia="Arial" w:hAnsi="Arial"/>
                <w:sz w:val="14"/>
                <w:szCs w:val="14"/>
                <w:b w:val="1"/>
                <w:bCs w:val="1"/>
                <w:color w:val="auto"/>
              </w:rPr>
              <w:t>Aggregate Fair Value</w:t>
            </w:r>
          </w:p>
        </w:tc>
        <w:tc>
          <w:tcPr>
            <w:tcW w:w="0" w:type="dxa"/>
            <w:vAlign w:val="bottom"/>
          </w:tcPr>
          <w:p>
            <w:pPr>
              <w:spacing w:after="0"/>
              <w:rPr>
                <w:sz w:val="1"/>
                <w:szCs w:val="1"/>
                <w:color w:val="auto"/>
              </w:rPr>
            </w:pPr>
          </w:p>
        </w:tc>
      </w:tr>
      <w:tr>
        <w:trPr>
          <w:trHeight w:val="256"/>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one year</w:t>
            </w:r>
          </w:p>
        </w:tc>
        <w:tc>
          <w:tcPr>
            <w:tcW w:w="78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767,612</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55,574,292</w:t>
            </w: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Greater than one year</w:t>
            </w:r>
          </w:p>
        </w:tc>
        <w:tc>
          <w:tcPr>
            <w:tcW w:w="7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151,091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358,120</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918,703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55,932,412</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ASC 320,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as amended and interpreted, provides guidance on determining when an investment is other-than-temporarily impaired. The Company reviews its fixed income and equity investment portfolio for any unrealized losses that would be deemed other-than-temporary and require the recognition of an impairment loss in income. If the cost of an investment exceeds its fair value, the Company evaluates, among other factors, general market conditions, the duration and extent to which the fair value is less than cost, and the Company’s intent and ability to hold the investments. Management also considers the type of security, related-industry and sector performance, as well as published investment ratings and analyst reports, to evaluate its portfolio. Once a decline in fair value is determined to be other-than-temporary, an impairment charge is recorded and new cost basis in the investment is established. If market, industry, and/or investee conditions deteriorate, the Company may incur future impairments. No investments were considered to be other-than-temporary impaired in 2017 and 2016.</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Fixed income securities as of December 31, 2017, have contractual maturities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4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151,956,129</w:t>
            </w:r>
          </w:p>
        </w:tc>
      </w:tr>
      <w:tr>
        <w:trPr>
          <w:trHeight w:val="250"/>
        </w:trPr>
        <w:tc>
          <w:tcPr>
            <w:tcW w:w="412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4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4,197,711</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Due over five years</w:t>
            </w:r>
          </w:p>
        </w:tc>
        <w:tc>
          <w:tcPr>
            <w:tcW w:w="420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spacing w:after="0"/>
              <w:rPr>
                <w:sz w:val="21"/>
                <w:szCs w:val="21"/>
                <w:color w:val="auto"/>
              </w:rPr>
            </w:pPr>
          </w:p>
        </w:tc>
        <w:tc>
          <w:tcPr>
            <w:tcW w:w="4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156,153,840</w:t>
            </w:r>
          </w:p>
        </w:tc>
      </w:tr>
      <w:tr>
        <w:trPr>
          <w:trHeight w:val="473"/>
        </w:trPr>
        <w:tc>
          <w:tcPr>
            <w:tcW w:w="4120" w:type="dxa"/>
            <w:vAlign w:val="bottom"/>
          </w:tcPr>
          <w:p>
            <w:pPr>
              <w:spacing w:after="0"/>
              <w:rPr>
                <w:sz w:val="24"/>
                <w:szCs w:val="24"/>
                <w:color w:val="auto"/>
              </w:rPr>
            </w:pPr>
          </w:p>
        </w:tc>
        <w:tc>
          <w:tcPr>
            <w:tcW w:w="4200" w:type="dxa"/>
            <w:vAlign w:val="bottom"/>
          </w:tcPr>
          <w:p>
            <w:pPr>
              <w:jc w:val="right"/>
              <w:ind w:right="2410"/>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financial instruments consist of cash and cash equivalents, investments, accounts receivable accounts payable, short and long term debt. The Company’s estimate of the fair values of these financial instruments approximates their carrying amounts at December 31, 2017 and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Inventories include material, direct labor and manufacturing overhead and are valued at the lower of first-in, first-out (FIFO) cost or market.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as of December 31, 2017 and 2016:</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139,272,129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115,099,569</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42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30,481,192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32,509,368</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47,012,262</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41,702,500</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Total Inventory</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216,765,583</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189,311,437</w:t>
            </w:r>
          </w:p>
        </w:tc>
      </w:tr>
      <w:tr>
        <w:trPr>
          <w:trHeight w:val="20"/>
        </w:trPr>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Allowances for slow-moving and obsolete inventories (which are included, net, in the above inventory values) were $6.6 million and $6.1 million at December 31, 2017 and 2016. The overall allowance remained consistent at 3% of the inventory balance.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Plant and Equipment</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Plant and equipment is stated at cost. Depreciation and amortization are computed for financial reporting purposes using the straight-line method, with estimated useful lives of 7 to 30 years for buildings and improvements, and 3 to 10 years for machinery and equipment. Depreciation expense was approximately $77.0 million, $66.3 million and $58.1 million in 2017, 2016 and 2015,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or Disposal of Long-Lived Assets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 reviews long-lived assets, including property, plant and equipment and other intangible assets with definite lives, for impairment whenever events or changes in circumstances indicate that the asset’s carrying amount may not be recoverable. The Company conducts its long-lived asset impairment analysis in accordance with ASC 360-10-15,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ASC 360-10-15 requires the Company to group assets and liabilities at the lowest level for which identifiable cash flows are largely independent of the cash flows of other assets and liabilities and evaluate the asset group against the sum of the undiscounted future cash flows. If the undiscounted cash flows do not indicate the carrying amount of the asset is recoverable, an impairment charge is measured as the amount by which the carrying amount of the asset group exceeds its fair value based on discounted cash flow analysis or appraisals.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policy is to capitalize costs incurred to obtain patents. The cost of patents is amortized over their useful lives. The cost of patents in process is not amortized until issuance. The Company periodically obtains intellectual property rights, in the ordinary course of business, and the cost of the rights are amortized over their useful lives.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Intangible Assets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reflects the cost of an acquisition in excess of the fair values assigned to identifiable net assets acquired. The Company reviews goodwill for impairment during the fourth quarter on an annual basis or more frequently if events or changes in circumstances indicate that goodwill might be impaired. The Company performs an impairment review for its automotive reporting unit, which has been determined to be one of the Company’s reportable segments using a fair value method which incorporates management’s judgments and assumptions, as well as incorporates third party valuations. The fair value of a reporting unit refers to the price that would be received to sell the unit as a whole in an orderly transaction between market participants at the measurement date. In estimating the fair value, the Company uses a combination of widely accepted valuation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methodologies incorporating certain judgments and assumptions to arrive at the fair value of the reporting unit.</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assumptions included in the impairment tests require judgment and changes to these inputs could impact the results of the calculations which could result in an impairment charge in future periods if the carrying amount of the reporting unit exceeds its calculated fair value. Other than management's internal projections of future cash flows, the primary assumptions used in the step 1 and step 2 impairment tests are the weighted-average cost of capital and long-term growth rates. Although the Company's cash flow forecasts are based on assumptions that are considered reasonable by management and consistent with the plans and estimates management is using to operate the underlying business, there are significant judgments in determining the expected future cash flows attributable to a reporting unit. There have been no impairment charges booked currently or in prior periods in which goodwill existed.</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Indefinite lived intangible assets are also subject to annual impairment testing or more frequently if indicators of impairment are identified. Management judgment and assumptions are required in determining the underlying fair value of the indefinite lived intangible assets. While the Company believes the judgments and assumptions used in determining fair value are reasonable, different assumptions could change the estimated fair values and, therefore, impairment charges could be required, which could be material to the consolidated financial statements. The indefinite lived intangible assets were not impaired as a result of the annual test prepared by management for either period presented.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The Company’s revenue is generated from sales of its products. Sales are recognized when the product is shipped and legal title has passed to the customer. The Company does not generate sales from arrangements with multiple deliverables. Effective January 1, 2018, the Company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method. This guidance supersedes nearly all existing revenue recognition guidance under US GAAP. The core principle of the guidance is that an entity should recognize revenue when it transfers promised goods or services to customers in an amount that reflects the consideration to which the company expects to be entitled in exchange for those goods or services. The Company has drafted its accounting policy for the new standard based on a detailed review of its business and contracts. Based on the new guidance, the Company expects to continue recognizing revenue at a particular point in time for the majority of its contracts with customers, which is generally when products are either shipped or delivered, and therefore the adoption of the standard did not have a material impact on its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and Promotional Materials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advertising and promotional costs are expensed as incurred and amounted to approximately $2.6 million, $1.9 million and $1.4 million, in 2017, 2016 and 2015,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Repairs and Maintenance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Major renewals and improvements of property and equipment are capitalized, and repairs and maintenance are expensed as incurred. The Company incurred expenses relating to the repair and maintenance of plant and equipment of approximately $24.6 million, $22.1 million and $20.7 million, in 2017, 2016 and 2015,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 based upon historical claims lag information and other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3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periodically incurs product warranty costs. Any liabilities associated with product warranty are estimated based on known facts and circumstances and are not significant at December 31, 2017, 2016 and 2015. The Company does not offer extended warranties on its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provision for income taxes is based on the earnings reported in the consolidated financial statements. 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reconciles the numerators and denominators used in the calculations of basic and diluted earnings per share (EPS) for each of the last three years: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3"/>
        </w:trPr>
        <w:tc>
          <w:tcPr>
            <w:tcW w:w="6040" w:type="dxa"/>
            <w:vAlign w:val="bottom"/>
          </w:tcPr>
          <w:p>
            <w:pPr>
              <w:ind w:left="380"/>
              <w:spacing w:after="0"/>
              <w:rPr>
                <w:sz w:val="20"/>
                <w:szCs w:val="20"/>
                <w:color w:val="auto"/>
              </w:rPr>
            </w:pPr>
            <w:r>
              <w:rPr>
                <w:rFonts w:ascii="Arial" w:cs="Arial" w:eastAsia="Arial" w:hAnsi="Arial"/>
                <w:sz w:val="18"/>
                <w:szCs w:val="18"/>
                <w:color w:val="auto"/>
              </w:rPr>
              <w:t>Numerator for both basic and diluted EPS, net income</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406,791,922</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347,591,276</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318,469,859</w:t>
            </w: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Denominators:</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29"/>
        </w:trPr>
        <w:tc>
          <w:tcPr>
            <w:tcW w:w="6040" w:type="dxa"/>
            <w:vAlign w:val="bottom"/>
          </w:tcPr>
          <w:p>
            <w:pPr>
              <w:ind w:left="380"/>
              <w:spacing w:after="0"/>
              <w:rPr>
                <w:sz w:val="20"/>
                <w:szCs w:val="20"/>
                <w:color w:val="auto"/>
              </w:rPr>
            </w:pPr>
            <w:r>
              <w:rPr>
                <w:rFonts w:ascii="Arial" w:cs="Arial" w:eastAsia="Arial" w:hAnsi="Arial"/>
                <w:sz w:val="18"/>
                <w:szCs w:val="18"/>
                <w:color w:val="auto"/>
              </w:rPr>
              <w:t>Denominator for basic EPS, weighted-average common shares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4"/>
        </w:trPr>
        <w:tc>
          <w:tcPr>
            <w:tcW w:w="6040" w:type="dxa"/>
            <w:vAlign w:val="bottom"/>
          </w:tcPr>
          <w:p>
            <w:pPr>
              <w:ind w:left="380"/>
              <w:spacing w:after="0"/>
              <w:rPr>
                <w:sz w:val="20"/>
                <w:szCs w:val="20"/>
                <w:color w:val="auto"/>
              </w:rPr>
            </w:pPr>
            <w:r>
              <w:rPr>
                <w:rFonts w:ascii="Arial" w:cs="Arial" w:eastAsia="Arial" w:hAnsi="Arial"/>
                <w:sz w:val="18"/>
                <w:szCs w:val="18"/>
                <w:color w:val="auto"/>
              </w:rPr>
              <w:t>outstanding</w:t>
            </w:r>
          </w:p>
        </w:tc>
        <w:tc>
          <w:tcPr>
            <w:tcW w:w="44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285,864,997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288,433,772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293,096,212</w:t>
            </w:r>
          </w:p>
        </w:tc>
      </w:tr>
      <w:tr>
        <w:trPr>
          <w:trHeight w:val="277"/>
        </w:trPr>
        <w:tc>
          <w:tcPr>
            <w:tcW w:w="6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Potentially dilutive shares resulting from stock option plans</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2,361,092</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2,638,544</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3,141,687</w:t>
            </w:r>
          </w:p>
        </w:tc>
      </w:tr>
      <w:tr>
        <w:trPr>
          <w:trHeight w:val="244"/>
        </w:trPr>
        <w:tc>
          <w:tcPr>
            <w:tcW w:w="6040" w:type="dxa"/>
            <w:vAlign w:val="bottom"/>
          </w:tcPr>
          <w:p>
            <w:pPr>
              <w:ind w:left="380"/>
              <w:spacing w:after="0"/>
              <w:rPr>
                <w:sz w:val="20"/>
                <w:szCs w:val="20"/>
                <w:color w:val="auto"/>
              </w:rPr>
            </w:pPr>
            <w:r>
              <w:rPr>
                <w:rFonts w:ascii="Arial" w:cs="Arial" w:eastAsia="Arial" w:hAnsi="Arial"/>
                <w:sz w:val="18"/>
                <w:szCs w:val="18"/>
                <w:color w:val="auto"/>
              </w:rPr>
              <w:t>Denominator for diluted EPS</w:t>
            </w: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288,226,089</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291,072,316</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296,237,899</w:t>
            </w:r>
          </w:p>
        </w:tc>
      </w:tr>
      <w:tr>
        <w:trPr>
          <w:trHeight w:val="20"/>
        </w:trPr>
        <w:tc>
          <w:tcPr>
            <w:tcW w:w="6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For the years ended December 31, 2017, 2016 and 2015, 910,105 shares, 1,985,849 shares, and 1,656,936 shares, respectively, related to stock option plans were not included in diluted average common shares outstanding because they were anti-dilutive.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Comprehensive Income (Loss)</w:t>
      </w:r>
    </w:p>
    <w:p>
      <w:pPr>
        <w:spacing w:after="0" w:line="144"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investments, unrealized gains and losses on certain derivative financial instruments, and foreign currency translation adjustments that are further detailed in </w:t>
      </w:r>
      <w:hyperlink w:anchor="page64">
        <w:r>
          <w:rPr>
            <w:rFonts w:ascii="Arial" w:cs="Arial" w:eastAsia="Arial" w:hAnsi="Arial"/>
            <w:sz w:val="18"/>
            <w:szCs w:val="18"/>
            <w:u w:val="single" w:color="auto"/>
            <w:color w:val="0000EE"/>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Translation</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Company accounts for derivative financial instruments in accordance with the guidance provided in ASC Topic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w:t>
      </w:r>
      <w:r>
        <w:rPr>
          <w:rFonts w:ascii="Arial" w:cs="Arial" w:eastAsia="Arial" w:hAnsi="Arial"/>
          <w:sz w:val="18"/>
          <w:szCs w:val="18"/>
          <w:color w:val="auto"/>
        </w:rPr>
        <w:t>The guidance requires that all derivative instruments be recognized as assets or liabilities on the consolidated balance sheets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at fair value. For derivatives designated as cash flow hedges, fair value changes in the effective portion of the hedging instrument are recognized in accumulated other comprehensive income on the consolidated balance sheets until the forecasted transaction affects earnings of the consolidated entity. Any ineffective portion of the fair value change is recognized in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5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earnings immediately. The Company reported a loss of $.1 million in earnings for the year ended December 31, 2017 as a result of the ineffectiveness of the hedge. As of December 31, 2016, there was no ineffectiveness.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seeks to reduce exposure to interest rate fluctuations through the use of an interest rate swap agreement. The Company does not buy and sell such financial instruments for investment or speculative purposes. The Company is exposed to credit loss in the event of nonperformance by the counterparties on derivative contracts. It is the Company’s practice to manage its credit risk on these transactions by dealing with highly rated financial institutions.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 Plans</w:t>
      </w:r>
    </w:p>
    <w:p>
      <w:pPr>
        <w:spacing w:after="0" w:line="144"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 Company accounts for stock-based compensation using the fair value recognition provisions of ASC 718, “Compensation - Stock Compensation.” As described more fully in </w:t>
      </w:r>
      <w:hyperlink w:anchor="page57">
        <w:r>
          <w:rPr>
            <w:rFonts w:ascii="Arial" w:cs="Arial" w:eastAsia="Arial" w:hAnsi="Arial"/>
            <w:sz w:val="18"/>
            <w:szCs w:val="18"/>
            <w:u w:val="single" w:color="auto"/>
            <w:color w:val="0000EE"/>
          </w:rPr>
          <w:t>Note 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Company provides compensation benefits under two stock option plans, a restricted stock plan and an employee stock purchase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Standards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2016-09, </w:t>
      </w:r>
      <w:r>
        <w:rPr>
          <w:rFonts w:ascii="Arial" w:cs="Arial" w:eastAsia="Arial" w:hAnsi="Arial"/>
          <w:sz w:val="18"/>
          <w:szCs w:val="18"/>
          <w:i w:val="1"/>
          <w:iCs w:val="1"/>
          <w:color w:val="auto"/>
        </w:rPr>
        <w:t>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 Share-Based Payment Accounting</w:t>
      </w:r>
      <w:r>
        <w:rPr>
          <w:rFonts w:ascii="Arial" w:cs="Arial" w:eastAsia="Arial" w:hAnsi="Arial"/>
          <w:sz w:val="18"/>
          <w:szCs w:val="18"/>
          <w:color w:val="auto"/>
        </w:rPr>
        <w:t>, which amends Accounting Standards Codification (ASC) Topic 718,</w:t>
      </w:r>
      <w:r>
        <w:rPr>
          <w:rFonts w:ascii="Arial" w:cs="Arial" w:eastAsia="Arial" w:hAnsi="Arial"/>
          <w:sz w:val="18"/>
          <w:szCs w:val="18"/>
          <w:i w:val="1"/>
          <w:iCs w:val="1"/>
          <w:color w:val="auto"/>
        </w:rPr>
        <w:t xml:space="preserve"> Compensation - Stock Compensation</w:t>
      </w:r>
      <w:r>
        <w:rPr>
          <w:rFonts w:ascii="Arial" w:cs="Arial" w:eastAsia="Arial" w:hAnsi="Arial"/>
          <w:sz w:val="18"/>
          <w:szCs w:val="18"/>
          <w:color w:val="auto"/>
        </w:rPr>
        <w:t>. ASU 2016-09 simplifies several aspects of the accounting for share-based payment transactions, including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classification of awards as either equity or liabilities, and classification on the statement of cash flows. Under previous guidance, excess tax benefits and deficiencies from stock-based compensation arrangements were recorded in equity when the awards vested or were settled. ASU 2016-09 requires prospective recognition of excess tax benefits and deficiencies in the income statement as a component of the income tax provision. In addition, under ASU 2016-09, excess income tax benefits from stock-based compensation arrangements are classified as cash flow from operations, rather than as cash flow from financing activities. ASU 2016-09 also allows for the Company to make an entity-wide accounting policy election to either estimate the number of awards that are expected to vest or account for forfeitures when they occur. The Company will continue to apply its existing entity-wide policy to estimate the number of awards expected to be forfeited. The Company adopted this standard in the first quarter of 2017.</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Impact to Consolidated Statements of Income</w:t>
      </w:r>
    </w:p>
    <w:p>
      <w:pPr>
        <w:spacing w:after="0" w:line="27" w:lineRule="exact"/>
        <w:rPr>
          <w:sz w:val="20"/>
          <w:szCs w:val="20"/>
          <w:color w:val="auto"/>
        </w:rPr>
      </w:pPr>
    </w:p>
    <w:p>
      <w:pPr>
        <w:jc w:val="both"/>
        <w:ind w:left="1300"/>
        <w:spacing w:after="0" w:line="251" w:lineRule="auto"/>
        <w:rPr>
          <w:sz w:val="20"/>
          <w:szCs w:val="20"/>
          <w:color w:val="auto"/>
        </w:rPr>
      </w:pPr>
      <w:r>
        <w:rPr>
          <w:rFonts w:ascii="Arial" w:cs="Arial" w:eastAsia="Arial" w:hAnsi="Arial"/>
          <w:sz w:val="18"/>
          <w:szCs w:val="18"/>
          <w:color w:val="auto"/>
        </w:rPr>
        <w:t>One of the more significant impacts of adopting ASU 2016-09 is the required change in how the Company recognizes the excess tax benefits or deficiencies related to share-based compensation. For example, prior to adopting ASU 2016-09 such benefits and deficiencies were credited or charged, respectively, to additional paid-in capital in the Company’s Consolidated Balance Sheets. Under ASU 2016-09, these benefits and deficiencies are recognized as a discrete tax benefit or discrete tax expense, in the Company’s Consolidated Statements of Income. For the years ended December 31, 2017, the Company recognized a net discrete tax benefit of $5.2 million, related to net tax benefits from share-based compensation. ASU 2016-09 requires companies to adopt the amendment related to accounting for benefits and deficiencies on a prospective basis only. As a result, no change has been made to the Consolidated Statements of Income for the years ended December 31, 2016 and 2015 related to the $3.2 million and $1.2 million of net tax benefits the Company recognized as additional paid-in capital during each respective period. Net tax benefits of $3.2 million recognized as additional paid-in-capital during the year ended December 31, 2016 includes gross tax benefits of $4.9 million net of $1.7 million tax expense. Net tax benefits of $1.2 million recognized as additional paid-in-capital during the year ended December 31, 2015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52" w:lineRule="exact"/>
        <w:rPr>
          <w:sz w:val="20"/>
          <w:szCs w:val="20"/>
          <w:color w:val="auto"/>
        </w:rPr>
      </w:pPr>
    </w:p>
    <w:p>
      <w:pPr>
        <w:jc w:val="both"/>
        <w:ind w:left="1300"/>
        <w:spacing w:after="0" w:line="256" w:lineRule="auto"/>
        <w:rPr>
          <w:sz w:val="20"/>
          <w:szCs w:val="20"/>
          <w:color w:val="auto"/>
        </w:rPr>
      </w:pPr>
      <w:r>
        <w:rPr>
          <w:rFonts w:ascii="Arial" w:cs="Arial" w:eastAsia="Arial" w:hAnsi="Arial"/>
          <w:sz w:val="18"/>
          <w:szCs w:val="18"/>
          <w:color w:val="auto"/>
        </w:rPr>
        <w:t>includes gross tax benefits of $ 1.7 million net of $.5 million tax expense. In consideration of the impact of the adoption of this standard to earnings per share, the total impact of adoption of this standard to the earnings per share calculation was less than $.02 for the year ending December 31, 2017.</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Impact to Consolidated Statements of Cash Flows</w:t>
      </w:r>
    </w:p>
    <w:p>
      <w:pPr>
        <w:spacing w:after="0" w:line="27" w:lineRule="exact"/>
        <w:rPr>
          <w:sz w:val="20"/>
          <w:szCs w:val="20"/>
          <w:color w:val="auto"/>
        </w:rPr>
      </w:pPr>
    </w:p>
    <w:p>
      <w:pPr>
        <w:jc w:val="both"/>
        <w:ind w:left="1300"/>
        <w:spacing w:after="0" w:line="252" w:lineRule="auto"/>
        <w:rPr>
          <w:sz w:val="20"/>
          <w:szCs w:val="20"/>
          <w:color w:val="auto"/>
        </w:rPr>
      </w:pPr>
      <w:r>
        <w:rPr>
          <w:rFonts w:ascii="Arial" w:cs="Arial" w:eastAsia="Arial" w:hAnsi="Arial"/>
          <w:sz w:val="18"/>
          <w:szCs w:val="18"/>
          <w:color w:val="auto"/>
        </w:rPr>
        <w:t>In addition to the income tax consequences described above, under ASU 2016-09 all tax benefits related to share-based payments are reported as cash flows from operating activities along with all other income tax cash flows. Previously, tax benefits from share-based payment arrangements were reported as cash flows from financing activities. With respect to the classification of tax benefits on the statement of cash flows, ASU 2016-09 allows companies to elect either a prospective or retrospective application. The Company has elected to apply this classification amendment retrospectively. As a result, the Company elected to reclassify $5.6 million of tax expense previously reported as cash flows from financing activities on the Company’s Consolidated Statement of Cash Flows for the twelve months ended December 31, 2016 as cash flows from operating activities.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Effective January 1, 2018, the Company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method. This guidance supersedes nearly all existing revenue recognition guidance under US GAAP. The core principle of the guidance is that an entity should recognize revenue when it transfers promised goods or services to customers in an amount that reflects the consideration to which the company expects to be entitled in exchange for those goods or services. The Company has drafted its accounting policy for the new standard based on a detailed review of its business and contracts. Based on the new guidance, the Company continues to recognize revenue at a particular point in time for the majority of its contracts with customers, which is generally when products are either shipped or delivered. Therefore, the adoption of ASC 606 did not have a material impact on the consolidated financial statements. The Company anticipates it will expand its consolidated financial statement disclosures in order to comply with the disclosure requirements of the ASU beginning in the first quarter of 2018.</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Effective January 1, 2018, the Company adopted ASU 2016-01, </w:t>
      </w:r>
      <w:r>
        <w:rPr>
          <w:rFonts w:ascii="Arial" w:cs="Arial" w:eastAsia="Arial" w:hAnsi="Arial"/>
          <w:sz w:val="18"/>
          <w:szCs w:val="18"/>
          <w:i w:val="1"/>
          <w:iCs w:val="1"/>
          <w:color w:val="auto"/>
        </w:rPr>
        <w:t>Recognition and Measurement of Financial Assets and Financial Liabilitie</w:t>
      </w:r>
      <w:r>
        <w:rPr>
          <w:rFonts w:ascii="Arial" w:cs="Arial" w:eastAsia="Arial" w:hAnsi="Arial"/>
          <w:sz w:val="18"/>
          <w:szCs w:val="18"/>
          <w:color w:val="auto"/>
        </w:rPr>
        <w:t>s. The standard amends various aspects of the recognition, measurement, presentation, and disclosure of financial instruments. The most significant impact to our consolidated financial statements relates to the recognition and measurement of equity investments at fair value with changes recognized in Net income. The amendment also updates certain presentation and disclosure requirements. The Company will have a cumulative-effect adjustment in the first quarter of 2018 of approximately $7 million as a result of the implementation of this guidance, as a result of the reclassification of the net unrealized gain for available-for-sale securities as of December 31, 2017 from other comprehensive income to retained earnings. The adoption of ASU 2016-01 is expected to increase volatility in net income as changes in the fair value of available-for-sale equity investments and changes in observable prices of equity investments without readily determinable fair values will be recorded in net income.</w:t>
      </w:r>
    </w:p>
    <w:p>
      <w:pPr>
        <w:spacing w:after="0" w:line="189" w:lineRule="exact"/>
        <w:rPr>
          <w:sz w:val="20"/>
          <w:szCs w:val="20"/>
          <w:color w:val="auto"/>
        </w:rPr>
      </w:pPr>
    </w:p>
    <w:p>
      <w:pPr>
        <w:ind w:right="298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provides guidance for lease accounting. The new guidance contained in the ASU stipulates that lessees will need to recognize a right-of-use asset and a lease liability for substantially all leases (other than leases that meet the definition of a short-term lease). The liability will be equal to the present value of lease payments. Treatment in the consolidated statements of earnings will be similar to the current treatment of operating and capital leases. The new guidance is effective on a modified retrospective basis for the Company in the first quarter of its fiscal year ending December 31, 2019. The Company is currently in the process of evaluating the impact of adoption of this standard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8" w:right="239" w:bottom="1440" w:gutter="0" w:footer="0" w:header="0"/>
        </w:sectPr>
      </w:pPr>
    </w:p>
    <w:bookmarkStart w:id="53" w:name="page54"/>
    <w:bookmarkEnd w:id="53"/>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On September 27, 2013, the Company entered into a Credit Agreement (the “Credit Agreement”) with certain banks and agents.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Credit Agreement, the Company is borrower under a $150 million senior revolving credit facility ("Revolver") and a $150 million term loan facility ("Term Loan"). Under the terms of the Credit Agreement, the Company is entitled to further request an additional aggregate principal amount of up to $75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principal amount of up to $20 million, both subject to certain conditions. The obligations of the Company under the Credit agreement are not secured, but are subject to certain covenants. The Revolver expires and the Term Loan matures on September 27, 2018.</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years ended December 31, 2017 and 2016, the Company made repayments of $107.6 million and $47.5 million respectively, plus accrued interest. The aforementioned payments include additional payments made by the Company of $100.0 million and $40.0 million respectively, on the Term Loan and Revolver, which were in addition to the scheduled amounts due. The Company used cash and cash equivalents to fund the payments. As of December 31, 2017, there was no outstanding balance on the Revolver, and the Company had availability of $ 149.3 million on the Revolver. As of December 31, 2017, $78.0 million was outstanding under the Term Loan. The Company anticipates that the Revolver and Term Loan will be retired in 2018.</w:t>
      </w:r>
    </w:p>
    <w:p>
      <w:pPr>
        <w:spacing w:after="0" w:line="209"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borrowing rate on both its Term Loan and Revolver are derived from the one month LIBOR, and based on the Company's leverage ratio as of December 31, 2017, the effective interest rate on its borrowings is equal to 2.57%. Interest expense for the years ended December 31, 2017 and 2016 are presented within the "Other, net" section of the </w:t>
      </w:r>
      <w:hyperlink w:anchor="page41">
        <w:r>
          <w:rPr>
            <w:rFonts w:ascii="Arial" w:cs="Arial" w:eastAsia="Arial" w:hAnsi="Arial"/>
            <w:sz w:val="18"/>
            <w:szCs w:val="18"/>
            <w:u w:val="single" w:color="auto"/>
            <w:color w:val="0000EE"/>
          </w:rPr>
          <w:t>Consolidated Statements of Income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expenses associated with the Term Loan and Revolver were $3.0 million and $3.5 million, respectively.</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Company was in compliance with its covenants under the Credit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Swap</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1, 2014, the Company entered into an interest rate swap transaction with a bank (the “Counterparty”). The Counterparty is among the syndicate of lenders under the existing Credit Agreement entered into on September 27, 2013. The Company entered into the interest rate swap transaction to mitigate the Company’s floating rate interest risk on an aggregate of $150 million of the Company’s debt that is currently outstanding under the Credit Agreement. The interest rate swap had an effective date of July 31, 2015 and a termination date of September 27, 2018 (which is the expiration date of the Credit Agreement). The Company is required to make certain monthly fixed rate payments to the Counterparty calculated on a notional amount of $ 150 million for the rate swap, while the Counterparty is obligated to make monthly floating rate payments to the Company referencing the same notional amount. The interest rate swap transaction has the effect of fixing the annual interest rate payable on $150 million of the Company’s outstanding debt under its existing credit facility to 1.89%, as of the effective date. The notional amounts of the interest rate swap agreement are used to measure interest to be paid or received and do not represent the amount of exposure to credit loss. This derivative instrument has been designated as a cash flow hedge of the variable interest payments on the related debt.</w:t>
      </w:r>
    </w:p>
    <w:p>
      <w:pPr>
        <w:spacing w:after="0" w:line="212"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Interest expenses are netted within the “Other, net” section of the Condensed Consolidated Statements of Income, and expenses associated with the interest rate swap were $1.3 million and $2.1 million for the years ended December 31, 2017 and 2016, respectively.</w:t>
      </w: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Notwithstanding the terms of the interest rate swap transaction, the Company is ultimately obligated for all amounts due and payable under its existing Credit Agreement.</w:t>
      </w:r>
    </w:p>
    <w:p>
      <w:pPr>
        <w:spacing w:after="0" w:line="200" w:lineRule="exact"/>
        <w:rPr>
          <w:sz w:val="20"/>
          <w:szCs w:val="20"/>
          <w:color w:val="auto"/>
        </w:rPr>
      </w:pP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760"/>
          </w:cols>
          <w:pgMar w:left="900" w:top="118"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notional amount of the Company's derivative instruments are as follows:</w:t>
      </w:r>
    </w:p>
    <w:p>
      <w:pPr>
        <w:spacing w:after="0" w:line="200" w:lineRule="exact"/>
        <w:rPr>
          <w:sz w:val="20"/>
          <w:szCs w:val="20"/>
          <w:color w:val="auto"/>
        </w:rPr>
      </w:pPr>
    </w:p>
    <w:p>
      <w:pPr>
        <w:spacing w:after="0" w:line="229" w:lineRule="exact"/>
        <w:rPr>
          <w:sz w:val="20"/>
          <w:szCs w:val="20"/>
          <w:color w:val="auto"/>
        </w:rPr>
      </w:pPr>
    </w:p>
    <w:tbl>
      <w:tblPr>
        <w:tblLayout w:type="fixed"/>
        <w:tblInd w:w="1040" w:type="dxa"/>
        <w:tblCellMar>
          <w:top w:w="0" w:type="dxa"/>
          <w:left w:w="0" w:type="dxa"/>
          <w:bottom w:w="0" w:type="dxa"/>
          <w:right w:w="0" w:type="dxa"/>
        </w:tblCellMar>
      </w:tblPr>
      <w:tr>
        <w:trPr>
          <w:trHeight w:val="196"/>
        </w:trPr>
        <w:tc>
          <w:tcPr>
            <w:tcW w:w="3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20" w:type="dxa"/>
            <w:vAlign w:val="bottom"/>
          </w:tcPr>
          <w:p>
            <w:pPr>
              <w:jc w:val="right"/>
              <w:ind w:right="179"/>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Pr>
          <w:p>
            <w:pPr>
              <w:spacing w:after="0"/>
              <w:rPr>
                <w:sz w:val="17"/>
                <w:szCs w:val="17"/>
                <w:color w:val="auto"/>
              </w:rPr>
            </w:pPr>
          </w:p>
        </w:tc>
        <w:tc>
          <w:tcPr>
            <w:tcW w:w="1620" w:type="dxa"/>
            <w:vAlign w:val="bottom"/>
          </w:tcPr>
          <w:p>
            <w:pPr>
              <w:jc w:val="right"/>
              <w:ind w:right="199"/>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tcPr>
          <w:p>
            <w:pPr>
              <w:spacing w:after="0"/>
              <w:rPr>
                <w:sz w:val="17"/>
                <w:szCs w:val="17"/>
                <w:color w:val="auto"/>
              </w:rPr>
            </w:pPr>
          </w:p>
        </w:tc>
        <w:tc>
          <w:tcPr>
            <w:tcW w:w="1560" w:type="dxa"/>
            <w:vAlign w:val="bottom"/>
          </w:tcPr>
          <w:p>
            <w:pPr>
              <w:jc w:val="right"/>
              <w:ind w:right="139"/>
              <w:spacing w:after="0"/>
              <w:rPr>
                <w:sz w:val="20"/>
                <w:szCs w:val="20"/>
                <w:color w:val="auto"/>
              </w:rPr>
            </w:pPr>
            <w:r>
              <w:rPr>
                <w:rFonts w:ascii="Arial" w:cs="Arial" w:eastAsia="Arial" w:hAnsi="Arial"/>
                <w:sz w:val="14"/>
                <w:szCs w:val="14"/>
                <w:b w:val="1"/>
                <w:bCs w:val="1"/>
                <w:color w:val="auto"/>
              </w:rPr>
              <w:t>December 31, 2015</w:t>
            </w:r>
          </w:p>
        </w:tc>
      </w:tr>
      <w:tr>
        <w:trPr>
          <w:trHeight w:val="27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150,000,000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150,000,000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150,000,000</w:t>
            </w:r>
          </w:p>
        </w:tc>
      </w:tr>
    </w:tbl>
    <w:p>
      <w:pPr>
        <w:spacing w:after="0" w:line="21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following table sets forth financial assets and liabilities measured at fair value in the consolidated balance sheets and the respective pricing levels to which the fair value measurements are classified within the fair value hierarchy. The Company uses the market approach to derive the value of its level 2 fair value measurements. Interest rate swaps are valued using publicized swap curves.</w:t>
      </w:r>
    </w:p>
    <w:p>
      <w:pPr>
        <w:spacing w:after="0" w:line="354" w:lineRule="exact"/>
        <w:rPr>
          <w:sz w:val="20"/>
          <w:szCs w:val="20"/>
          <w:color w:val="auto"/>
        </w:rPr>
      </w:pPr>
    </w:p>
    <w:p>
      <w:pPr>
        <w:jc w:val="center"/>
        <w:ind w:left="66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26035</wp:posOffset>
            </wp:positionV>
            <wp:extent cx="63544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49" w:lineRule="exact"/>
        <w:rPr>
          <w:sz w:val="20"/>
          <w:szCs w:val="20"/>
          <w:color w:val="auto"/>
        </w:rPr>
      </w:pPr>
    </w:p>
    <w:p>
      <w:pPr>
        <w:jc w:val="center"/>
        <w:ind w:left="660"/>
        <w:spacing w:after="0"/>
        <w:rPr>
          <w:sz w:val="20"/>
          <w:szCs w:val="20"/>
          <w:color w:val="auto"/>
        </w:rPr>
      </w:pPr>
      <w:r>
        <w:rPr>
          <w:rFonts w:ascii="Arial" w:cs="Arial" w:eastAsia="Arial" w:hAnsi="Arial"/>
          <w:sz w:val="14"/>
          <w:szCs w:val="14"/>
          <w:b w:val="1"/>
          <w:bCs w:val="1"/>
          <w:color w:val="auto"/>
        </w:rPr>
        <w:t>Quoted Prices with Other Observable Inputs (Level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26035</wp:posOffset>
            </wp:positionV>
            <wp:extent cx="63544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103" w:lineRule="exact"/>
        <w:rPr>
          <w:sz w:val="20"/>
          <w:szCs w:val="20"/>
          <w:color w:val="auto"/>
        </w:rPr>
      </w:pPr>
    </w:p>
    <w:tbl>
      <w:tblPr>
        <w:tblLayout w:type="fixed"/>
        <w:tblInd w:w="104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7"/>
                <w:szCs w:val="17"/>
                <w:color w:val="auto"/>
              </w:rPr>
            </w:pPr>
          </w:p>
        </w:tc>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7"/>
                <w:szCs w:val="17"/>
                <w:color w:val="auto"/>
              </w:rPr>
            </w:pPr>
          </w:p>
        </w:tc>
        <w:tc>
          <w:tcPr>
            <w:tcW w:w="156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 2015</w:t>
            </w:r>
          </w:p>
        </w:tc>
      </w:tr>
      <w:tr>
        <w:trPr>
          <w:trHeight w:val="270"/>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1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3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r>
      <w:tr>
        <w:trPr>
          <w:trHeight w:val="263"/>
        </w:trPr>
        <w:tc>
          <w:tcPr>
            <w:tcW w:w="4140" w:type="dxa"/>
            <w:vAlign w:val="bottom"/>
          </w:tcPr>
          <w:p>
            <w:pPr>
              <w:ind w:left="160"/>
              <w:spacing w:after="0"/>
              <w:rPr>
                <w:sz w:val="20"/>
                <w:szCs w:val="20"/>
                <w:color w:val="auto"/>
              </w:rPr>
            </w:pPr>
            <w:r>
              <w:rPr>
                <w:rFonts w:ascii="Arial" w:cs="Arial" w:eastAsia="Arial" w:hAnsi="Arial"/>
                <w:sz w:val="18"/>
                <w:szCs w:val="18"/>
                <w:color w:val="auto"/>
              </w:rPr>
              <w:t>Interest Rate Swap Asset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7"/>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29"/>
        </w:trPr>
        <w:tc>
          <w:tcPr>
            <w:tcW w:w="4140" w:type="dxa"/>
            <w:vAlign w:val="bottom"/>
          </w:tcPr>
          <w:p>
            <w:pPr>
              <w:ind w:left="160"/>
              <w:spacing w:after="0"/>
              <w:rPr>
                <w:sz w:val="20"/>
                <w:szCs w:val="20"/>
                <w:color w:val="auto"/>
              </w:rPr>
            </w:pPr>
            <w:r>
              <w:rPr>
                <w:rFonts w:ascii="Arial" w:cs="Arial" w:eastAsia="Arial" w:hAnsi="Arial"/>
                <w:sz w:val="18"/>
                <w:szCs w:val="18"/>
                <w:color w:val="auto"/>
              </w:rPr>
              <w:t>Interest Rate Swap Liability (Other Accrued</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7"/>
        </w:trPr>
        <w:tc>
          <w:tcPr>
            <w:tcW w:w="414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230,845</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1,841,970</w:t>
            </w: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2,947,438</w:t>
            </w:r>
          </w:p>
        </w:tc>
      </w:tr>
    </w:tbl>
    <w:p>
      <w:pPr>
        <w:spacing w:after="0" w:line="22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Based on loan balances as of December 31, 2017 and the effective date of July 31, 2015 of the interest rate swap, a one percent increase in the Company's borrowing rate would increase net interest expense paid by the Company on its borrowings by less than $0.1 million on an annual basis.</w:t>
      </w:r>
    </w:p>
    <w:p>
      <w:pPr>
        <w:spacing w:after="0" w:line="36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44"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basis of assets and liabilities using enacted tax rates expected to apply taxable income in years which those temporary differences are expected to be recovered or settled. Deferred income tax expense is measured by the net change in deferred income tax assets and liabilities during the year.</w:t>
      </w:r>
    </w:p>
    <w:p>
      <w:pPr>
        <w:spacing w:after="0" w:line="127" w:lineRule="exact"/>
        <w:rPr>
          <w:rFonts w:ascii="Arial" w:cs="Arial" w:eastAsia="Arial" w:hAnsi="Arial"/>
          <w:sz w:val="18"/>
          <w:szCs w:val="18"/>
          <w:color w:val="auto"/>
        </w:rPr>
      </w:pPr>
    </w:p>
    <w:p>
      <w:pPr>
        <w:jc w:val="both"/>
        <w:ind w:left="660"/>
        <w:spacing w:after="0" w:line="262" w:lineRule="auto"/>
        <w:rPr>
          <w:rFonts w:ascii="Arial" w:cs="Arial" w:eastAsia="Arial" w:hAnsi="Arial"/>
          <w:sz w:val="18"/>
          <w:szCs w:val="18"/>
          <w:color w:val="auto"/>
        </w:rPr>
      </w:pPr>
      <w:r>
        <w:rPr>
          <w:rFonts w:ascii="Arial" w:cs="Arial" w:eastAsia="Arial" w:hAnsi="Arial"/>
          <w:sz w:val="18"/>
          <w:szCs w:val="18"/>
          <w:color w:val="auto"/>
        </w:rPr>
        <w:t>On December 22, 2017, President Trump signed into law the Tax Cuts and Jobs Act (the “Act”), a tax reform bill which, among other items, reduces the current federal income tax rate to 21% from 35%. The rate reduction is effective January 1, 2018, and is permanent.</w:t>
      </w:r>
    </w:p>
    <w:p>
      <w:pPr>
        <w:spacing w:after="0" w:line="115"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The Act has caused the Company’s deferred income taxes to be revalued. As changes in tax laws or rates are enacted, deferred tax assets and liabilities are adjusted through income tax expense. Pursuant to the guidance within SEC Staff Accounting Bulletin No. 118 (“SAB 118”), as of December 31, 2017, the Company recognized the provisional effects of the enactment of the Act for which measurement could be reasonably estimated. Although the Company continues to analyze certain aspects of the Act and refine its assessment, the ultimate impact of the Act may differ from these estimates due to its continued analysis or further regulatory guidance that may be issued as a result of the Act. Pursuant to SAB 118, adjustments to the provisional amounts recorded by the Company as of December 31, 2017 that are identified within a subsequent measurement period of up to one year from the enactment date will be included as an adjustment to tax expense from continuing operations in the period the amounts are determined.</w:t>
      </w:r>
    </w:p>
    <w:p>
      <w:pPr>
        <w:spacing w:after="0" w:line="125"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As a result of the reduction of the federal corporate income tax rate, the Company reduced the value of its net deferred tax liability by $38.4 million which was recorded as a reduction to income tax expense during the fourth quarter of 2017. The Company’s revaluation of its net deferred tax liability is subject to further refinement as additional information becomes available and further analysis is completed.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3"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INCOME TAXES, continued</w:t>
      </w:r>
    </w:p>
    <w:p>
      <w:pPr>
        <w:spacing w:after="0" w:line="387" w:lineRule="exact"/>
        <w:rPr>
          <w:rFonts w:ascii="Arial" w:cs="Arial" w:eastAsia="Arial" w:hAnsi="Arial"/>
          <w:sz w:val="18"/>
          <w:szCs w:val="18"/>
          <w:color w:val="auto"/>
        </w:rPr>
      </w:pPr>
    </w:p>
    <w:p>
      <w:pPr>
        <w:ind w:left="660"/>
        <w:spacing w:after="0" w:line="262" w:lineRule="auto"/>
        <w:rPr>
          <w:rFonts w:ascii="Arial" w:cs="Arial" w:eastAsia="Arial" w:hAnsi="Arial"/>
          <w:sz w:val="18"/>
          <w:szCs w:val="18"/>
          <w:color w:val="auto"/>
        </w:rPr>
      </w:pPr>
      <w:r>
        <w:rPr>
          <w:rFonts w:ascii="Arial" w:cs="Arial" w:eastAsia="Arial" w:hAnsi="Arial"/>
          <w:sz w:val="18"/>
          <w:szCs w:val="18"/>
          <w:color w:val="auto"/>
        </w:rPr>
        <w:t>The foreign components of income before the provision for income taxes were not material as of December 31, 2017, 2016 and 2015. The components of the provision for income taxes are as follows:</w:t>
      </w:r>
    </w:p>
    <w:p>
      <w:pPr>
        <w:spacing w:after="0" w:line="400"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Currently payable: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63"/>
        </w:trPr>
        <w:tc>
          <w:tcPr>
            <w:tcW w:w="5180" w:type="dxa"/>
            <w:vAlign w:val="bottom"/>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133,166,194</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136,124,497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129,379,597</w:t>
            </w:r>
          </w:p>
        </w:tc>
      </w:tr>
      <w:tr>
        <w:trPr>
          <w:trHeight w:val="277"/>
        </w:trPr>
        <w:tc>
          <w:tcPr>
            <w:tcW w:w="5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3,805,000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2,908,000</w:t>
            </w:r>
          </w:p>
        </w:tc>
      </w:tr>
      <w:tr>
        <w:trPr>
          <w:trHeight w:val="264"/>
        </w:trPr>
        <w:tc>
          <w:tcPr>
            <w:tcW w:w="51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2,440,000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540,000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276,000</w:t>
            </w:r>
          </w:p>
        </w:tc>
      </w:tr>
      <w:tr>
        <w:trPr>
          <w:trHeight w:val="25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139,590,194</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140,469,497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132,563,597</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Deferred income tax (benefit) expense: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5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5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Primarily federal</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(14,585,412)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22,500,000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12,558,000</w:t>
            </w:r>
          </w:p>
        </w:tc>
      </w:tr>
      <w:tr>
        <w:trPr>
          <w:trHeight w:val="244"/>
        </w:trPr>
        <w:tc>
          <w:tcPr>
            <w:tcW w:w="51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125,004,782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162,969,497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145,121,597</w:t>
            </w:r>
          </w:p>
        </w:tc>
      </w:tr>
      <w:tr>
        <w:trPr>
          <w:trHeight w:val="20"/>
        </w:trPr>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currently payable provision is further reduced by the tax benefits associated with the exercise, vesting or disposition of stock under the stock plans described in </w:t>
      </w:r>
      <w:hyperlink w:anchor="page57">
        <w:r>
          <w:rPr>
            <w:rFonts w:ascii="Arial" w:cs="Arial" w:eastAsia="Arial" w:hAnsi="Arial"/>
            <w:sz w:val="18"/>
            <w:szCs w:val="18"/>
            <w:u w:val="single" w:color="auto"/>
            <w:color w:val="0000EE"/>
          </w:rPr>
          <w:t>Note 5</w:t>
        </w:r>
      </w:hyperlink>
      <w:r>
        <w:rPr>
          <w:rFonts w:ascii="Arial" w:cs="Arial" w:eastAsia="Arial" w:hAnsi="Arial"/>
          <w:sz w:val="18"/>
          <w:szCs w:val="18"/>
          <w:color w:val="auto"/>
        </w:rPr>
        <w:t xml:space="preserve">. These reductions totaled approximately $ 8.3 million, $ 11.8 million and $5.0 million in 2017, 2016 and 2015, respectively. As a result of the implementation of ASU 2016-09 in first quarter 2017, as further discussed in </w:t>
      </w:r>
      <w:hyperlink w:anchor="page45">
        <w:r>
          <w:rPr>
            <w:rFonts w:ascii="Arial" w:cs="Arial" w:eastAsia="Arial" w:hAnsi="Arial"/>
            <w:sz w:val="18"/>
            <w:szCs w:val="18"/>
            <w:u w:val="single" w:color="auto"/>
            <w:color w:val="0000EE"/>
          </w:rPr>
          <w:t>Note 1</w:t>
        </w:r>
      </w:hyperlink>
      <w:r>
        <w:rPr>
          <w:rFonts w:ascii="Arial" w:cs="Arial" w:eastAsia="Arial" w:hAnsi="Arial"/>
          <w:sz w:val="18"/>
          <w:szCs w:val="18"/>
          <w:color w:val="auto"/>
        </w:rPr>
        <w:t>, this reduction was recognized through income tax expense in 2017, whereas the reductions were recognized as an adjustment of additional paid-in capital for the years 2016 and 2015.</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 income tax rates are different from the statutory federal income tax rates for the following reasons:</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6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7"/>
                <w:szCs w:val="17"/>
                <w:color w:val="auto"/>
              </w:rPr>
            </w:pPr>
          </w:p>
        </w:tc>
      </w:tr>
      <w:tr>
        <w:trPr>
          <w:trHeight w:val="25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35.00 %</w:t>
            </w:r>
          </w:p>
        </w:tc>
        <w:tc>
          <w:tcPr>
            <w:tcW w:w="12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35.00 %</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760" w:type="dxa"/>
            <w:vAlign w:val="bottom"/>
          </w:tcPr>
          <w:p>
            <w:pPr>
              <w:spacing w:after="0"/>
              <w:rPr>
                <w:sz w:val="22"/>
                <w:szCs w:val="22"/>
                <w:color w:val="auto"/>
              </w:rPr>
            </w:pPr>
          </w:p>
        </w:tc>
      </w:tr>
      <w:tr>
        <w:trPr>
          <w:trHeight w:val="263"/>
        </w:trPr>
        <w:tc>
          <w:tcPr>
            <w:tcW w:w="5620" w:type="dxa"/>
            <w:vAlign w:val="bottom"/>
          </w:tcPr>
          <w:p>
            <w:pPr>
              <w:ind w:left="20"/>
              <w:spacing w:after="0"/>
              <w:rPr>
                <w:sz w:val="20"/>
                <w:szCs w:val="20"/>
                <w:color w:val="auto"/>
              </w:rPr>
            </w:pPr>
            <w:r>
              <w:rPr>
                <w:rFonts w:ascii="Arial" w:cs="Arial" w:eastAsia="Arial" w:hAnsi="Arial"/>
                <w:sz w:val="18"/>
                <w:szCs w:val="18"/>
                <w:color w:val="auto"/>
              </w:rPr>
              <w:t>State income taxes, net of federal income tax benefit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0.40</w:t>
            </w:r>
          </w:p>
        </w:tc>
        <w:tc>
          <w:tcPr>
            <w:tcW w:w="760" w:type="dxa"/>
            <w:vAlign w:val="bottom"/>
          </w:tcPr>
          <w:p>
            <w:pPr>
              <w:spacing w:after="0"/>
              <w:rPr>
                <w:sz w:val="22"/>
                <w:szCs w:val="22"/>
                <w:color w:val="auto"/>
              </w:rPr>
            </w:pPr>
          </w:p>
        </w:tc>
      </w:tr>
      <w:tr>
        <w:trPr>
          <w:trHeight w:val="27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production exclusion</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(2.80)</w:t>
            </w:r>
          </w:p>
        </w:tc>
        <w:tc>
          <w:tcPr>
            <w:tcW w:w="760" w:type="dxa"/>
            <w:vAlign w:val="bottom"/>
          </w:tcPr>
          <w:p>
            <w:pPr>
              <w:spacing w:after="0"/>
              <w:rPr>
                <w:sz w:val="24"/>
                <w:szCs w:val="24"/>
                <w:color w:val="auto"/>
              </w:rPr>
            </w:pPr>
          </w:p>
        </w:tc>
      </w:tr>
      <w:tr>
        <w:trPr>
          <w:trHeight w:val="263"/>
        </w:trPr>
        <w:tc>
          <w:tcPr>
            <w:tcW w:w="5620" w:type="dxa"/>
            <w:vAlign w:val="bottom"/>
          </w:tcPr>
          <w:p>
            <w:pPr>
              <w:ind w:left="20"/>
              <w:spacing w:after="0"/>
              <w:rPr>
                <w:sz w:val="20"/>
                <w:szCs w:val="20"/>
                <w:color w:val="auto"/>
              </w:rPr>
            </w:pPr>
            <w:r>
              <w:rPr>
                <w:rFonts w:ascii="Arial" w:cs="Arial" w:eastAsia="Arial" w:hAnsi="Arial"/>
                <w:sz w:val="18"/>
                <w:szCs w:val="18"/>
                <w:color w:val="auto"/>
              </w:rPr>
              <w:t>Research tax credit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(0.80)</w:t>
            </w:r>
          </w:p>
        </w:tc>
        <w:tc>
          <w:tcPr>
            <w:tcW w:w="760" w:type="dxa"/>
            <w:vAlign w:val="bottom"/>
          </w:tcPr>
          <w:p>
            <w:pPr>
              <w:spacing w:after="0"/>
              <w:rPr>
                <w:sz w:val="22"/>
                <w:szCs w:val="22"/>
                <w:color w:val="auto"/>
              </w:rPr>
            </w:pPr>
          </w:p>
        </w:tc>
      </w:tr>
      <w:tr>
        <w:trPr>
          <w:trHeight w:val="27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(Reduction) in Reserve for Uncertain Tax Provisions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(0.60)</w:t>
            </w:r>
          </w:p>
        </w:tc>
        <w:tc>
          <w:tcPr>
            <w:tcW w:w="760" w:type="dxa"/>
            <w:vAlign w:val="bottom"/>
          </w:tcPr>
          <w:p>
            <w:pPr>
              <w:spacing w:after="0"/>
              <w:rPr>
                <w:sz w:val="24"/>
                <w:szCs w:val="24"/>
                <w:color w:val="auto"/>
              </w:rPr>
            </w:pPr>
          </w:p>
        </w:tc>
      </w:tr>
      <w:tr>
        <w:trPr>
          <w:trHeight w:val="263"/>
        </w:trPr>
        <w:tc>
          <w:tcPr>
            <w:tcW w:w="5620" w:type="dxa"/>
            <w:vAlign w:val="bottom"/>
          </w:tcPr>
          <w:p>
            <w:pPr>
              <w:ind w:left="20"/>
              <w:spacing w:after="0"/>
              <w:rPr>
                <w:sz w:val="20"/>
                <w:szCs w:val="20"/>
                <w:color w:val="auto"/>
              </w:rPr>
            </w:pPr>
            <w:r>
              <w:rPr>
                <w:rFonts w:ascii="Arial" w:cs="Arial" w:eastAsia="Arial" w:hAnsi="Arial"/>
                <w:sz w:val="18"/>
                <w:szCs w:val="18"/>
                <w:color w:val="auto"/>
              </w:rPr>
              <w:t>Change in Tax Rate on Deferred Taxes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r>
      <w:tr>
        <w:trPr>
          <w:trHeight w:val="27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r>
      <w:tr>
        <w:trPr>
          <w:trHeight w:val="264"/>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0.10</w:t>
            </w:r>
          </w:p>
        </w:tc>
        <w:tc>
          <w:tcPr>
            <w:tcW w:w="760" w:type="dxa"/>
            <w:vAlign w:val="bottom"/>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31.90 %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31.30 %</w:t>
            </w:r>
          </w:p>
        </w:tc>
        <w:tc>
          <w:tcPr>
            <w:tcW w:w="760" w:type="dxa"/>
            <w:vAlign w:val="bottom"/>
          </w:tcPr>
          <w:p>
            <w:pPr>
              <w:spacing w:after="0"/>
              <w:rPr>
                <w:sz w:val="21"/>
                <w:szCs w:val="21"/>
                <w:color w:val="auto"/>
              </w:rPr>
            </w:pPr>
          </w:p>
        </w:tc>
      </w:tr>
      <w:tr>
        <w:trPr>
          <w:trHeight w:val="20"/>
        </w:trPr>
        <w:tc>
          <w:tcPr>
            <w:tcW w:w="5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8"/>
        </w:trPr>
        <w:tc>
          <w:tcPr>
            <w:tcW w:w="8280" w:type="dxa"/>
            <w:vAlign w:val="bottom"/>
            <w:gridSpan w:val="5"/>
          </w:tcPr>
          <w:p>
            <w:pPr>
              <w:spacing w:after="0"/>
              <w:rPr>
                <w:sz w:val="20"/>
                <w:szCs w:val="20"/>
                <w:color w:val="auto"/>
              </w:rPr>
            </w:pPr>
            <w:r>
              <w:rPr>
                <w:rFonts w:ascii="Arial" w:cs="Arial" w:eastAsia="Arial" w:hAnsi="Arial"/>
                <w:sz w:val="18"/>
                <w:szCs w:val="18"/>
                <w:color w:val="auto"/>
              </w:rPr>
              <w:t>The tax effect of temporary differences which give rise to deferred income tax assets and liabilities at</w:t>
            </w:r>
          </w:p>
        </w:tc>
        <w:tc>
          <w:tcPr>
            <w:tcW w:w="2480" w:type="dxa"/>
            <w:vAlign w:val="bottom"/>
            <w:gridSpan w:val="6"/>
          </w:tcPr>
          <w:p>
            <w:pPr>
              <w:ind w:left="20"/>
              <w:spacing w:after="0"/>
              <w:rPr>
                <w:sz w:val="20"/>
                <w:szCs w:val="20"/>
                <w:color w:val="auto"/>
              </w:rPr>
            </w:pPr>
            <w:r>
              <w:rPr>
                <w:rFonts w:ascii="Arial" w:cs="Arial" w:eastAsia="Arial" w:hAnsi="Arial"/>
                <w:sz w:val="18"/>
                <w:szCs w:val="18"/>
                <w:color w:val="auto"/>
              </w:rPr>
              <w:t>December 31, 2017 and 2016,</w:t>
            </w:r>
          </w:p>
        </w:tc>
      </w:tr>
      <w:tr>
        <w:trPr>
          <w:trHeight w:val="217"/>
        </w:trPr>
        <w:tc>
          <w:tcPr>
            <w:tcW w:w="5620" w:type="dxa"/>
            <w:vAlign w:val="bottom"/>
          </w:tcPr>
          <w:p>
            <w:pPr>
              <w:spacing w:after="0"/>
              <w:rPr>
                <w:sz w:val="20"/>
                <w:szCs w:val="20"/>
                <w:color w:val="auto"/>
              </w:rPr>
            </w:pPr>
            <w:r>
              <w:rPr>
                <w:rFonts w:ascii="Arial" w:cs="Arial" w:eastAsia="Arial" w:hAnsi="Arial"/>
                <w:sz w:val="18"/>
                <w:szCs w:val="18"/>
                <w:color w:val="auto"/>
              </w:rPr>
              <w:t>are as follows: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59"/>
        </w:trPr>
        <w:tc>
          <w:tcPr>
            <w:tcW w:w="5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Pr>
          <w:p>
            <w:pPr>
              <w:spacing w:after="0"/>
              <w:rPr>
                <w:sz w:val="21"/>
                <w:szCs w:val="21"/>
                <w:color w:val="auto"/>
              </w:rPr>
            </w:pPr>
          </w:p>
        </w:tc>
      </w:tr>
      <w:tr>
        <w:trPr>
          <w:trHeight w:val="263"/>
        </w:trPr>
        <w:tc>
          <w:tcPr>
            <w:tcW w:w="5620" w:type="dxa"/>
            <w:vAlign w:val="bottom"/>
          </w:tcPr>
          <w:p>
            <w:pPr>
              <w:ind w:left="380"/>
              <w:spacing w:after="0"/>
              <w:rPr>
                <w:sz w:val="20"/>
                <w:szCs w:val="20"/>
                <w:color w:val="auto"/>
              </w:rPr>
            </w:pPr>
            <w:r>
              <w:rPr>
                <w:rFonts w:ascii="Arial" w:cs="Arial" w:eastAsia="Arial" w:hAnsi="Arial"/>
                <w:sz w:val="18"/>
                <w:szCs w:val="18"/>
                <w:color w:val="auto"/>
              </w:rPr>
              <w:t>Accruals not currently deductible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4,546,767</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4,282,470</w:t>
            </w:r>
          </w:p>
        </w:tc>
        <w:tc>
          <w:tcPr>
            <w:tcW w:w="760" w:type="dxa"/>
            <w:vAlign w:val="bottom"/>
          </w:tcPr>
          <w:p>
            <w:pPr>
              <w:spacing w:after="0"/>
              <w:rPr>
                <w:sz w:val="22"/>
                <w:szCs w:val="22"/>
                <w:color w:val="auto"/>
              </w:rPr>
            </w:pPr>
          </w:p>
        </w:tc>
      </w:tr>
      <w:tr>
        <w:trPr>
          <w:trHeight w:val="277"/>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based compensation</w:t>
            </w: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8,594,640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18,701,361</w:t>
            </w:r>
          </w:p>
        </w:tc>
        <w:tc>
          <w:tcPr>
            <w:tcW w:w="760" w:type="dxa"/>
            <w:vAlign w:val="bottom"/>
          </w:tcPr>
          <w:p>
            <w:pPr>
              <w:spacing w:after="0"/>
              <w:rPr>
                <w:sz w:val="24"/>
                <w:szCs w:val="24"/>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3,679,680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3,924,945</w:t>
            </w:r>
          </w:p>
        </w:tc>
        <w:tc>
          <w:tcPr>
            <w:tcW w:w="760" w:type="dxa"/>
            <w:vAlign w:val="bottom"/>
          </w:tcPr>
          <w:p>
            <w:pPr>
              <w:spacing w:after="0"/>
              <w:rPr>
                <w:sz w:val="22"/>
                <w:szCs w:val="22"/>
                <w:color w:val="auto"/>
              </w:rPr>
            </w:pPr>
          </w:p>
        </w:tc>
      </w:tr>
      <w:tr>
        <w:trPr>
          <w:trHeight w:val="25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income tax assets</w:t>
            </w:r>
          </w:p>
        </w:tc>
        <w:tc>
          <w:tcPr>
            <w:tcW w:w="1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16,821,087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26,908,776</w:t>
            </w:r>
          </w:p>
        </w:tc>
        <w:tc>
          <w:tcPr>
            <w:tcW w:w="760" w:type="dxa"/>
            <w:vAlign w:val="bottom"/>
          </w:tcPr>
          <w:p>
            <w:pPr>
              <w:spacing w:after="0"/>
              <w:rPr>
                <w:sz w:val="22"/>
                <w:szCs w:val="22"/>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over book depreciation</w:t>
            </w: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(46,123,681)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(65,642,206)</w:t>
            </w:r>
          </w:p>
        </w:tc>
        <w:tc>
          <w:tcPr>
            <w:tcW w:w="760" w:type="dxa"/>
            <w:vAlign w:val="bottom"/>
          </w:tcPr>
          <w:p>
            <w:pPr>
              <w:spacing w:after="0"/>
              <w:rPr>
                <w:sz w:val="23"/>
                <w:szCs w:val="23"/>
                <w:color w:val="auto"/>
              </w:rPr>
            </w:pPr>
          </w:p>
        </w:tc>
      </w:tr>
      <w:tr>
        <w:trPr>
          <w:trHeight w:val="263"/>
        </w:trPr>
        <w:tc>
          <w:tcPr>
            <w:tcW w:w="5620" w:type="dxa"/>
            <w:vAlign w:val="bottom"/>
          </w:tcPr>
          <w:p>
            <w:pPr>
              <w:ind w:left="380"/>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(18,972,334)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(23,225,969)</w:t>
            </w:r>
          </w:p>
        </w:tc>
        <w:tc>
          <w:tcPr>
            <w:tcW w:w="760" w:type="dxa"/>
            <w:vAlign w:val="bottom"/>
          </w:tcPr>
          <w:p>
            <w:pPr>
              <w:spacing w:after="0"/>
              <w:rPr>
                <w:sz w:val="22"/>
                <w:szCs w:val="22"/>
                <w:color w:val="auto"/>
              </w:rPr>
            </w:pPr>
          </w:p>
        </w:tc>
      </w:tr>
      <w:tr>
        <w:trPr>
          <w:trHeight w:val="277"/>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 on investments</w:t>
            </w: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(2,093,105)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(1,435,322)</w:t>
            </w:r>
          </w:p>
        </w:tc>
        <w:tc>
          <w:tcPr>
            <w:tcW w:w="760" w:type="dxa"/>
            <w:vAlign w:val="bottom"/>
          </w:tcPr>
          <w:p>
            <w:pPr>
              <w:spacing w:after="0"/>
              <w:rPr>
                <w:sz w:val="24"/>
                <w:szCs w:val="24"/>
                <w:color w:val="auto"/>
              </w:rPr>
            </w:pPr>
          </w:p>
        </w:tc>
      </w:tr>
      <w:tr>
        <w:trPr>
          <w:trHeight w:val="263"/>
        </w:trPr>
        <w:tc>
          <w:tcPr>
            <w:tcW w:w="562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(4,172,726)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(5,368,886)</w:t>
            </w:r>
          </w:p>
        </w:tc>
        <w:tc>
          <w:tcPr>
            <w:tcW w:w="760" w:type="dxa"/>
            <w:vAlign w:val="bottom"/>
          </w:tcPr>
          <w:p>
            <w:pPr>
              <w:spacing w:after="0"/>
              <w:rPr>
                <w:sz w:val="22"/>
                <w:szCs w:val="22"/>
                <w:color w:val="auto"/>
              </w:rPr>
            </w:pPr>
          </w:p>
        </w:tc>
      </w:tr>
      <w:tr>
        <w:trPr>
          <w:trHeight w:val="277"/>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(4,347,885)</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(2,449,012)</w:t>
            </w:r>
          </w:p>
        </w:tc>
        <w:tc>
          <w:tcPr>
            <w:tcW w:w="760" w:type="dxa"/>
            <w:vAlign w:val="bottom"/>
          </w:tcPr>
          <w:p>
            <w:pPr>
              <w:spacing w:after="0"/>
              <w:rPr>
                <w:sz w:val="24"/>
                <w:szCs w:val="24"/>
                <w:color w:val="auto"/>
              </w:rPr>
            </w:pPr>
          </w:p>
        </w:tc>
      </w:tr>
      <w:tr>
        <w:trPr>
          <w:trHeight w:val="244"/>
        </w:trPr>
        <w:tc>
          <w:tcPr>
            <w:tcW w:w="5620" w:type="dxa"/>
            <w:vAlign w:val="bottom"/>
          </w:tcPr>
          <w:p>
            <w:pPr>
              <w:ind w:left="20"/>
              <w:spacing w:after="0"/>
              <w:rPr>
                <w:sz w:val="20"/>
                <w:szCs w:val="20"/>
                <w:color w:val="auto"/>
              </w:rPr>
            </w:pPr>
            <w:r>
              <w:rPr>
                <w:rFonts w:ascii="Arial" w:cs="Arial" w:eastAsia="Arial" w:hAnsi="Arial"/>
                <w:sz w:val="18"/>
                <w:szCs w:val="18"/>
                <w:color w:val="auto"/>
              </w:rPr>
              <w:t>Net deferred income taxes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(58,888,644)</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(71,212,619)</w:t>
            </w:r>
          </w:p>
        </w:tc>
        <w:tc>
          <w:tcPr>
            <w:tcW w:w="760" w:type="dxa"/>
            <w:vAlign w:val="bottom"/>
          </w:tcPr>
          <w:p>
            <w:pPr>
              <w:spacing w:after="0"/>
              <w:rPr>
                <w:sz w:val="21"/>
                <w:szCs w:val="21"/>
                <w:color w:val="auto"/>
              </w:rPr>
            </w:pPr>
          </w:p>
        </w:tc>
      </w:tr>
      <w:tr>
        <w:trPr>
          <w:trHeight w:val="20"/>
        </w:trPr>
        <w:tc>
          <w:tcPr>
            <w:tcW w:w="5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118" w:right="2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3"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INCOME TAXES, continued</w:t>
      </w:r>
    </w:p>
    <w:p>
      <w:pPr>
        <w:spacing w:after="0" w:line="38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Net current and non-current tax assets and liabilities are included in the consolidated balance sheets as follows:</w:t>
      </w:r>
    </w:p>
    <w:p>
      <w:pPr>
        <w:spacing w:after="0" w:line="348" w:lineRule="exact"/>
        <w:rPr>
          <w:sz w:val="20"/>
          <w:szCs w:val="20"/>
          <w:color w:val="auto"/>
        </w:rPr>
      </w:pPr>
    </w:p>
    <w:tbl>
      <w:tblPr>
        <w:tblLayout w:type="fixed"/>
        <w:tblInd w:w="1040" w:type="dxa"/>
        <w:tblCellMar>
          <w:top w:w="0" w:type="dxa"/>
          <w:left w:w="0" w:type="dxa"/>
          <w:bottom w:w="0" w:type="dxa"/>
          <w:right w:w="0" w:type="dxa"/>
        </w:tblCellMar>
      </w:tblPr>
      <w:tr>
        <w:trPr>
          <w:trHeight w:val="196"/>
        </w:trPr>
        <w:tc>
          <w:tcPr>
            <w:tcW w:w="63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264"/>
        </w:trPr>
        <w:tc>
          <w:tcPr>
            <w:tcW w:w="63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assets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16,821,087</w:t>
            </w: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26,908,776</w:t>
            </w:r>
          </w:p>
        </w:tc>
      </w:tr>
      <w:tr>
        <w:trPr>
          <w:trHeight w:val="264"/>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liabilities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(75,709,731)</w:t>
            </w:r>
          </w:p>
        </w:tc>
        <w:tc>
          <w:tcPr>
            <w:tcW w:w="2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(98,121,395)</w:t>
            </w: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liability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(58,888,644)</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(71,212,619)</w:t>
            </w:r>
          </w:p>
        </w:tc>
      </w:tr>
      <w:tr>
        <w:trPr>
          <w:trHeight w:val="20"/>
        </w:trPr>
        <w:tc>
          <w:tcPr>
            <w:tcW w:w="6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taxes paid in cash were approximately $126.0 million, $144.1 million and $138.0 million in 2017, 2016 and 2015, respectively.</w:t>
      </w:r>
    </w:p>
    <w:p>
      <w:pPr>
        <w:spacing w:after="0" w:line="144"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18"/>
          <w:szCs w:val="18"/>
          <w:color w:val="auto"/>
        </w:rPr>
        <w:t>The Tax Cuts and Jobs Act, along with reducing the federal income tax rate to 21% from 35%, implements a modified territorial system that provides for an exemption for foreign dividends. However, a one-time transition tax is payable in respect of cumulative retained earnings of foreign subsidiaries at a rate of 15.5% for earnings represented by cash or cash equivalents and 8.0% for the balance of such earnings. The Company does not anticipate the one-time transition tax, the provisional estimate of which is $1.2 million, to be material.</w:t>
      </w:r>
    </w:p>
    <w:p>
      <w:pPr>
        <w:spacing w:after="0" w:line="124"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The Company follows the provisions of the Financial Accounting Standards Codification 740 (“ASC 740”), “Income Taxes.” A reconciliation of the beginning and ending amount of unrecognized tax benefits is as follows: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5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3,408,000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5,375,000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8,288,000</w:t>
            </w:r>
          </w:p>
        </w:tc>
      </w:tr>
      <w:tr>
        <w:trPr>
          <w:trHeight w:val="263"/>
        </w:trPr>
        <w:tc>
          <w:tcPr>
            <w:tcW w:w="554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32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941,000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756,000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1,765,000</w:t>
            </w:r>
          </w:p>
        </w:tc>
      </w:tr>
      <w:tr>
        <w:trPr>
          <w:trHeight w:val="27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in prior years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289,000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487,000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428,000</w:t>
            </w:r>
          </w:p>
        </w:tc>
      </w:tr>
      <w:tr>
        <w:trPr>
          <w:trHeight w:val="263"/>
        </w:trPr>
        <w:tc>
          <w:tcPr>
            <w:tcW w:w="5540" w:type="dxa"/>
            <w:vAlign w:val="bottom"/>
          </w:tcPr>
          <w:p>
            <w:pPr>
              <w:ind w:left="20"/>
              <w:spacing w:after="0"/>
              <w:rPr>
                <w:sz w:val="20"/>
                <w:szCs w:val="20"/>
                <w:color w:val="auto"/>
              </w:rPr>
            </w:pPr>
            <w:r>
              <w:rPr>
                <w:rFonts w:ascii="Arial" w:cs="Arial" w:eastAsia="Arial" w:hAnsi="Arial"/>
                <w:sz w:val="18"/>
                <w:szCs w:val="18"/>
                <w:color w:val="auto"/>
              </w:rPr>
              <w:t>Reductions for tax positions in prior years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(2,949,000)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(336,000)</w:t>
            </w:r>
          </w:p>
        </w:tc>
      </w:tr>
      <w:tr>
        <w:trPr>
          <w:trHeight w:val="27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as a result of completed audit examinations</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(4,162,000)</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Reductions as a result of a lapse of the applicable statute of</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limitations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(608,000)</w:t>
            </w: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4,435,000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3,408,000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5,375,000</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recognized, unrecognized tax benefits would affect the effective tax rate.</w:t>
      </w:r>
    </w:p>
    <w:p>
      <w:pPr>
        <w:spacing w:after="0" w:line="144"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recognizes interest and penalties related to unrecognized tax benefits through the provision for income taxes. The Company has accrued approximately $433,000 and $277,000 for interest as of December 31, 2017 and 2016, respectively. Interest recorded during 2017, 2016 and 2015 was not considered significant.</w:t>
      </w:r>
    </w:p>
    <w:p>
      <w:pPr>
        <w:spacing w:after="0" w:line="12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is also subject to periodic and routine audits in both domestic and foreign tax jurisdictions, and it is reasonably possible that the amounts of unrecognized tax benefits could change as a result of an audit.</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Based on the current audits in process, the payment of taxes as a result of audit settlements, and the completion of tax examinations, the Company does not expect these to have a material impact on the Company’s financial position or results of operations.</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For the majority of tax jurisdictions, the Company is no longer subject to U.S. federal, state and local, or non-U.S. income tax examinations by tax authorities for years before 2012.</w:t>
      </w:r>
    </w:p>
    <w:p>
      <w:pPr>
        <w:spacing w:after="0" w:line="304"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EMPLOYEE BENEFIT PLAN</w:t>
      </w:r>
    </w:p>
    <w:p>
      <w:pPr>
        <w:spacing w:after="0" w:line="144"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2017, 2016 and 2015 the Company’s contributions were approximately $7.7 million, $6.5 million and $5.7 million, respectively. The increase in each of the years was due to increased employee participation in the plan.</w:t>
      </w:r>
    </w:p>
    <w:p>
      <w:pPr>
        <w:spacing w:after="0" w:line="1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does not provide health care benefits to retired employees.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STOCK-BASED COMPENSATION PLANS, continued</w:t>
      </w:r>
    </w:p>
    <w:p>
      <w:pPr>
        <w:spacing w:after="0" w:line="25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225"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At December 31, 2017, the Company had four equity incentive plans which include two stock option plans, a restricted stock plan and an employee stock purchase plan. All of the plans and any material amendments thereto have previously been approved by shareholders.</w:t>
      </w:r>
    </w:p>
    <w:p>
      <w:pPr>
        <w:spacing w:after="0" w:line="33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Employee Stock Option Plan</w:t>
      </w:r>
    </w:p>
    <w:p>
      <w:pPr>
        <w:spacing w:after="0" w:line="144"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In May 2014, the Employee Stock Option Plan was approved by shareholders, amending and restating a prior plan. The Company may grant up to 24,000,000 shares of common stock under the plan. The purpose of the plan is to provide an opportunity to use stock options as a means of recruiting new managerial and technical personnel and as a means for retaining certain employees of the Company by allowing them to purchase shares of common stock of the Corporation and thereby have an additional incentive to contribute to the prosperity of the Company.</w:t>
      </w:r>
    </w:p>
    <w:p>
      <w:pPr>
        <w:spacing w:after="0" w:line="124"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The Company has granted options on 11,404,018 shares (net of shares from canceled/expired options) under the plan through December 31, 2017. Under the plan, the option exercise price equals the stock’s market price on date of grant. The options vest after one to five years, and expire after five to seven years.</w:t>
      </w:r>
    </w:p>
    <w:p>
      <w:pPr>
        <w:spacing w:after="0" w:line="201" w:lineRule="exact"/>
        <w:rPr>
          <w:rFonts w:ascii="Arial" w:cs="Arial" w:eastAsia="Arial" w:hAnsi="Arial"/>
          <w:sz w:val="18"/>
          <w:szCs w:val="18"/>
          <w:color w:val="auto"/>
        </w:rPr>
      </w:pPr>
    </w:p>
    <w:p>
      <w:pPr>
        <w:ind w:left="660" w:right="20"/>
        <w:spacing w:after="0" w:line="262" w:lineRule="auto"/>
        <w:rPr>
          <w:rFonts w:ascii="Arial" w:cs="Arial" w:eastAsia="Arial" w:hAnsi="Arial"/>
          <w:sz w:val="18"/>
          <w:szCs w:val="18"/>
          <w:color w:val="auto"/>
        </w:rPr>
      </w:pPr>
      <w:r>
        <w:rPr>
          <w:rFonts w:ascii="Arial" w:cs="Arial" w:eastAsia="Arial" w:hAnsi="Arial"/>
          <w:sz w:val="18"/>
          <w:szCs w:val="18"/>
          <w:color w:val="auto"/>
        </w:rPr>
        <w:t>The fair value of each option grant in the Employee Stock Option Plan was estimated on the date of grant using the Black-Scholes option pricing model with the following weighted-average assumptions for the indicated periods: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3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5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1"/>
                <w:szCs w:val="21"/>
                <w:color w:val="auto"/>
                <w:vertAlign w:val="superscript"/>
              </w:rPr>
              <w:t>(2)</w:t>
            </w:r>
          </w:p>
        </w:tc>
        <w:tc>
          <w:tcPr>
            <w:tcW w:w="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1"/>
                <w:szCs w:val="21"/>
                <w:color w:val="auto"/>
                <w:vertAlign w:val="superscript"/>
              </w:rPr>
              <w:t>(3)</w:t>
            </w: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 xml:space="preserve">Expected term of options (in years) </w:t>
            </w:r>
            <w:r>
              <w:rPr>
                <w:rFonts w:ascii="Arial" w:cs="Arial" w:eastAsia="Arial" w:hAnsi="Arial"/>
                <w:sz w:val="21"/>
                <w:szCs w:val="21"/>
                <w:color w:val="auto"/>
                <w:vertAlign w:val="superscript"/>
              </w:rPr>
              <w:t>(4)</w:t>
            </w:r>
          </w:p>
        </w:tc>
        <w:tc>
          <w:tcPr>
            <w:tcW w:w="900" w:type="dxa"/>
            <w:vAlign w:val="bottom"/>
          </w:tcPr>
          <w:p>
            <w:pPr>
              <w:spacing w:after="0"/>
              <w:rPr>
                <w:sz w:val="23"/>
                <w:szCs w:val="23"/>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4.3</w:t>
            </w:r>
          </w:p>
        </w:tc>
      </w:tr>
      <w:tr>
        <w:trPr>
          <w:trHeight w:val="27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r>
    </w:tbl>
    <w:p>
      <w:pPr>
        <w:spacing w:after="0" w:line="134"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Company's estimated cash dividend yield over the expected term of option grant.</w:t>
      </w:r>
    </w:p>
    <w:p>
      <w:pPr>
        <w:spacing w:after="0" w:line="144" w:lineRule="exact"/>
        <w:rPr>
          <w:sz w:val="20"/>
          <w:szCs w:val="20"/>
          <w:color w:val="auto"/>
        </w:rPr>
      </w:pPr>
    </w:p>
    <w:p>
      <w:pPr>
        <w:ind w:left="1540" w:right="20" w:hanging="877"/>
        <w:spacing w:after="0" w:line="262" w:lineRule="auto"/>
        <w:rPr>
          <w:sz w:val="20"/>
          <w:szCs w:val="20"/>
          <w:color w:val="auto"/>
        </w:rPr>
      </w:pPr>
      <w:r>
        <w:rPr>
          <w:rFonts w:ascii="Arial" w:cs="Arial" w:eastAsia="Arial" w:hAnsi="Arial"/>
          <w:sz w:val="18"/>
          <w:szCs w:val="18"/>
          <w:color w:val="auto"/>
        </w:rPr>
        <w:t>(2)Amount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15"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U.S. Treasury yield over the expected term of the option grant.</w:t>
      </w:r>
    </w:p>
    <w:p>
      <w:pPr>
        <w:spacing w:after="0" w:line="144" w:lineRule="exact"/>
        <w:rPr>
          <w:rFonts w:ascii="Arial" w:cs="Arial" w:eastAsia="Arial" w:hAnsi="Arial"/>
          <w:sz w:val="18"/>
          <w:szCs w:val="18"/>
          <w:color w:val="auto"/>
        </w:rPr>
      </w:pPr>
    </w:p>
    <w:p>
      <w:pPr>
        <w:ind w:left="1540" w:hanging="884"/>
        <w:spacing w:after="0" w:line="256" w:lineRule="auto"/>
        <w:tabs>
          <w:tab w:leader="none" w:pos="8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21"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As of December 31, 2017, there was $9,957,103 of unrecognized compensation cost related to share-based payments which is expected to be recognized over the remaining vesting periods, with a weighted-average period of 1.8 years.</w:t>
      </w:r>
    </w:p>
    <w:p>
      <w:pPr>
        <w:spacing w:after="0" w:line="115"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A summary of the status of the Company’s employee stock option plan at December 31, 2017, 2016 and 2015, and changes during the same periods are presented in the tables and narrative below.</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58" w:name="page59"/>
    <w:bookmarkEnd w:id="58"/>
    <w:p>
      <w:pPr>
        <w:jc w:val="center"/>
        <w:ind w:right="-11"/>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ind w:left="652" w:hanging="652"/>
        <w:spacing w:after="0"/>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STOCK-BASED COMPENSATION PLANS, continued</w:t>
      </w:r>
    </w:p>
    <w:p>
      <w:pPr>
        <w:spacing w:after="0" w:line="200" w:lineRule="exact"/>
        <w:rPr>
          <w:sz w:val="20"/>
          <w:szCs w:val="20"/>
          <w:color w:val="auto"/>
        </w:rPr>
      </w:pPr>
    </w:p>
    <w:p>
      <w:pPr>
        <w:spacing w:after="0" w:line="202" w:lineRule="exact"/>
        <w:rPr>
          <w:sz w:val="20"/>
          <w:szCs w:val="20"/>
          <w:color w:val="auto"/>
        </w:rPr>
      </w:pPr>
    </w:p>
    <w:tbl>
      <w:tblPr>
        <w:tblLayout w:type="fixed"/>
        <w:tblInd w:w="652" w:type="dxa"/>
        <w:tblCellMar>
          <w:top w:w="0" w:type="dxa"/>
          <w:left w:w="0" w:type="dxa"/>
          <w:bottom w:w="0" w:type="dxa"/>
          <w:right w:w="0" w:type="dxa"/>
        </w:tblCellMar>
      </w:tblPr>
      <w:tr>
        <w:trPr>
          <w:trHeight w:val="196"/>
        </w:trPr>
        <w:tc>
          <w:tcPr>
            <w:tcW w:w="3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53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r>
      <w:tr>
        <w:trPr>
          <w:trHeight w:val="175"/>
        </w:trPr>
        <w:tc>
          <w:tcPr>
            <w:tcW w:w="3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left="138"/>
              <w:spacing w:after="0"/>
              <w:rPr>
                <w:sz w:val="20"/>
                <w:szCs w:val="20"/>
                <w:color w:val="auto"/>
              </w:rPr>
            </w:pPr>
            <w:r>
              <w:rPr>
                <w:rFonts w:ascii="Arial" w:cs="Arial" w:eastAsia="Arial" w:hAnsi="Arial"/>
                <w:sz w:val="14"/>
                <w:szCs w:val="14"/>
                <w:b w:val="1"/>
                <w:bCs w:val="1"/>
                <w:color w:val="auto"/>
              </w:rPr>
              <w:t>Wtd. Avg.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6"/>
          </w:tcPr>
          <w:p>
            <w:pPr>
              <w:jc w:val="center"/>
              <w:ind w:left="8"/>
              <w:spacing w:after="0"/>
              <w:rPr>
                <w:sz w:val="20"/>
                <w:szCs w:val="20"/>
                <w:color w:val="auto"/>
              </w:rPr>
            </w:pPr>
            <w:r>
              <w:rPr>
                <w:rFonts w:ascii="Arial" w:cs="Arial" w:eastAsia="Arial" w:hAnsi="Arial"/>
                <w:sz w:val="14"/>
                <w:szCs w:val="14"/>
                <w:b w:val="1"/>
                <w:bCs w:val="1"/>
                <w:color w:val="auto"/>
                <w:w w:val="99"/>
              </w:rPr>
              <w:t>Wtd. Avg.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r>
      <w:tr>
        <w:trPr>
          <w:trHeight w:val="196"/>
        </w:trPr>
        <w:tc>
          <w:tcPr>
            <w:tcW w:w="380" w:type="dxa"/>
            <w:vAlign w:val="bottom"/>
          </w:tcPr>
          <w:p>
            <w:pPr>
              <w:spacing w:after="0"/>
              <w:rPr>
                <w:sz w:val="17"/>
                <w:szCs w:val="17"/>
                <w:color w:val="auto"/>
              </w:rPr>
            </w:pPr>
          </w:p>
        </w:tc>
        <w:tc>
          <w:tcPr>
            <w:tcW w:w="43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gridSpan w:val="2"/>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(000)</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gridSpan w:val="6"/>
          </w:tcPr>
          <w:p>
            <w:pPr>
              <w:jc w:val="center"/>
              <w:ind w:left="8"/>
              <w:spacing w:after="0"/>
              <w:rPr>
                <w:sz w:val="20"/>
                <w:szCs w:val="20"/>
                <w:color w:val="auto"/>
              </w:rPr>
            </w:pPr>
            <w:r>
              <w:rPr>
                <w:rFonts w:ascii="Arial" w:cs="Arial" w:eastAsia="Arial" w:hAnsi="Arial"/>
                <w:sz w:val="14"/>
                <w:szCs w:val="14"/>
                <w:b w:val="1"/>
                <w:bCs w:val="1"/>
                <w:color w:val="auto"/>
              </w:rPr>
              <w:t>Ex. Price</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Contract Life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(000)</w:t>
            </w:r>
          </w:p>
        </w:tc>
        <w:tc>
          <w:tcPr>
            <w:tcW w:w="400" w:type="dxa"/>
            <w:vAlign w:val="bottom"/>
            <w:tcBorders>
              <w:bottom w:val="single" w:sz="8" w:color="auto"/>
            </w:tcBorders>
          </w:tcPr>
          <w:p>
            <w:pPr>
              <w:spacing w:after="0"/>
              <w:rPr>
                <w:sz w:val="17"/>
                <w:szCs w:val="17"/>
                <w:color w:val="auto"/>
              </w:rPr>
            </w:pPr>
          </w:p>
        </w:tc>
      </w:tr>
      <w:tr>
        <w:trPr>
          <w:trHeight w:val="270"/>
        </w:trPr>
        <w:tc>
          <w:tcPr>
            <w:tcW w:w="380" w:type="dxa"/>
            <w:vAlign w:val="bottom"/>
          </w:tcPr>
          <w:p>
            <w:pPr>
              <w:spacing w:after="0"/>
              <w:rPr>
                <w:sz w:val="23"/>
                <w:szCs w:val="23"/>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5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14,252</w:t>
            </w: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3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0" w:type="dxa"/>
            <w:vAlign w:val="bottom"/>
            <w:tcBorders>
              <w:left w:val="single" w:sz="8" w:color="CCEEFF"/>
            </w:tcBorders>
            <w:shd w:val="clear" w:color="auto" w:fill="CCEEFF"/>
          </w:tcPr>
          <w:p>
            <w:pPr>
              <w:spacing w:after="0"/>
              <w:rPr>
                <w:sz w:val="23"/>
                <w:szCs w:val="23"/>
                <w:color w:val="auto"/>
              </w:rPr>
            </w:pPr>
          </w:p>
        </w:tc>
      </w:tr>
      <w:tr>
        <w:trPr>
          <w:trHeight w:val="263"/>
        </w:trPr>
        <w:tc>
          <w:tcPr>
            <w:tcW w:w="38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gridSpan w:val="6"/>
          </w:tcPr>
          <w:p>
            <w:pPr>
              <w:jc w:val="right"/>
              <w:ind w:right="80"/>
              <w:spacing w:after="0"/>
              <w:rPr>
                <w:sz w:val="20"/>
                <w:szCs w:val="20"/>
                <w:color w:val="auto"/>
              </w:rPr>
            </w:pPr>
            <w:r>
              <w:rPr>
                <w:rFonts w:ascii="Arial" w:cs="Arial" w:eastAsia="Arial" w:hAnsi="Arial"/>
                <w:sz w:val="18"/>
                <w:szCs w:val="18"/>
                <w:color w:val="auto"/>
              </w:rPr>
              <w:t>1,295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gridSpan w:val="4"/>
          </w:tcPr>
          <w:p>
            <w:pPr>
              <w:jc w:val="center"/>
              <w:spacing w:after="0"/>
              <w:rPr>
                <w:sz w:val="20"/>
                <w:szCs w:val="20"/>
                <w:color w:val="auto"/>
              </w:rPr>
            </w:pPr>
            <w:r>
              <w:rPr>
                <w:rFonts w:ascii="Arial" w:cs="Arial" w:eastAsia="Arial" w:hAnsi="Arial"/>
                <w:sz w:val="18"/>
                <w:szCs w:val="18"/>
                <w:color w:val="auto"/>
                <w:w w:val="99"/>
              </w:rPr>
              <w:t>20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7"/>
        </w:trPr>
        <w:tc>
          <w:tcPr>
            <w:tcW w:w="380" w:type="dxa"/>
            <w:vAlign w:val="bottom"/>
          </w:tcPr>
          <w:p>
            <w:pPr>
              <w:spacing w:after="0"/>
              <w:rPr>
                <w:sz w:val="24"/>
                <w:szCs w:val="24"/>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(3,476)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9"/>
              </w:rPr>
              <w:t>13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25,156</w:t>
            </w:r>
          </w:p>
        </w:tc>
      </w:tr>
      <w:tr>
        <w:trPr>
          <w:trHeight w:val="264"/>
        </w:trPr>
        <w:tc>
          <w:tcPr>
            <w:tcW w:w="380" w:type="dxa"/>
            <w:vAlign w:val="bottom"/>
          </w:tcPr>
          <w:p>
            <w:pPr>
              <w:spacing w:after="0"/>
              <w:rPr>
                <w:sz w:val="22"/>
                <w:szCs w:val="22"/>
                <w:color w:val="auto"/>
              </w:rPr>
            </w:pPr>
          </w:p>
        </w:tc>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380" w:type="dxa"/>
            <w:vAlign w:val="bottom"/>
            <w:tcBorders>
              <w:bottom w:val="single" w:sz="8" w:color="CCEEFF"/>
            </w:tcBorders>
            <w:gridSpan w:val="2"/>
          </w:tcPr>
          <w:p>
            <w:pPr>
              <w:spacing w:after="0"/>
              <w:rPr>
                <w:sz w:val="22"/>
                <w:szCs w:val="22"/>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(234)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9"/>
              </w:rPr>
              <w:t>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r>
      <w:tr>
        <w:trPr>
          <w:trHeight w:val="257"/>
        </w:trPr>
        <w:tc>
          <w:tcPr>
            <w:tcW w:w="380" w:type="dxa"/>
            <w:vAlign w:val="bottom"/>
          </w:tcPr>
          <w:p>
            <w:pPr>
              <w:spacing w:after="0"/>
              <w:rPr>
                <w:sz w:val="22"/>
                <w:szCs w:val="22"/>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5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11,837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9"/>
              </w:rPr>
              <w:t>16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center"/>
              <w:ind w:left="198"/>
              <w:spacing w:after="0"/>
              <w:rPr>
                <w:sz w:val="20"/>
                <w:szCs w:val="20"/>
                <w:color w:val="auto"/>
              </w:rPr>
            </w:pPr>
            <w:r>
              <w:rPr>
                <w:rFonts w:ascii="Arial" w:cs="Arial" w:eastAsia="Arial" w:hAnsi="Arial"/>
                <w:sz w:val="18"/>
                <w:szCs w:val="18"/>
                <w:color w:val="auto"/>
                <w:w w:val="98"/>
              </w:rPr>
              <w:t>2.7 Yrs</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58,202</w:t>
            </w:r>
          </w:p>
        </w:tc>
      </w:tr>
      <w:tr>
        <w:trPr>
          <w:trHeight w:val="257"/>
        </w:trPr>
        <w:tc>
          <w:tcPr>
            <w:tcW w:w="38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Exercisable at End of Year</w:t>
            </w:r>
          </w:p>
        </w:tc>
        <w:tc>
          <w:tcPr>
            <w:tcW w:w="1560" w:type="dxa"/>
            <w:vAlign w:val="bottom"/>
            <w:gridSpan w:val="6"/>
          </w:tcPr>
          <w:p>
            <w:pPr>
              <w:jc w:val="right"/>
              <w:ind w:right="80"/>
              <w:spacing w:after="0"/>
              <w:rPr>
                <w:sz w:val="20"/>
                <w:szCs w:val="20"/>
                <w:color w:val="auto"/>
              </w:rPr>
            </w:pPr>
            <w:r>
              <w:rPr>
                <w:rFonts w:ascii="Arial" w:cs="Arial" w:eastAsia="Arial" w:hAnsi="Arial"/>
                <w:sz w:val="18"/>
                <w:szCs w:val="18"/>
                <w:color w:val="auto"/>
              </w:rPr>
              <w:t>5,297</w:t>
            </w:r>
          </w:p>
        </w:tc>
        <w:tc>
          <w:tcPr>
            <w:tcW w:w="9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00" w:type="dxa"/>
            <w:vAlign w:val="bottom"/>
            <w:gridSpan w:val="4"/>
          </w:tcPr>
          <w:p>
            <w:pPr>
              <w:jc w:val="center"/>
              <w:spacing w:after="0"/>
              <w:rPr>
                <w:sz w:val="20"/>
                <w:szCs w:val="20"/>
                <w:color w:val="auto"/>
              </w:rPr>
            </w:pPr>
            <w:r>
              <w:rPr>
                <w:rFonts w:ascii="Arial" w:cs="Arial" w:eastAsia="Arial" w:hAnsi="Arial"/>
                <w:sz w:val="18"/>
                <w:szCs w:val="18"/>
                <w:color w:val="auto"/>
                <w:w w:val="99"/>
              </w:rPr>
              <w:t>15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jc w:val="center"/>
              <w:ind w:left="178"/>
              <w:spacing w:after="0"/>
              <w:rPr>
                <w:sz w:val="20"/>
                <w:szCs w:val="20"/>
                <w:color w:val="auto"/>
              </w:rPr>
            </w:pPr>
            <w:r>
              <w:rPr>
                <w:rFonts w:ascii="Arial" w:cs="Arial" w:eastAsia="Arial" w:hAnsi="Arial"/>
                <w:sz w:val="18"/>
                <w:szCs w:val="18"/>
                <w:color w:val="auto"/>
                <w:w w:val="99"/>
              </w:rPr>
              <w:t>2 Yrs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32,152</w:t>
            </w:r>
          </w:p>
        </w:tc>
      </w:tr>
      <w:tr>
        <w:trPr>
          <w:trHeight w:val="575"/>
        </w:trPr>
        <w:tc>
          <w:tcPr>
            <w:tcW w:w="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75"/>
        </w:trPr>
        <w:tc>
          <w:tcPr>
            <w:tcW w:w="3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Wtd. Avg.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9"/>
              </w:rPr>
              <w:t>Wtd. Avg.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Value</w:t>
            </w:r>
          </w:p>
        </w:tc>
      </w:tr>
      <w:tr>
        <w:trPr>
          <w:trHeight w:val="196"/>
        </w:trPr>
        <w:tc>
          <w:tcPr>
            <w:tcW w:w="3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180" w:type="dxa"/>
            <w:vAlign w:val="bottom"/>
            <w:gridSpan w:val="3"/>
          </w:tcPr>
          <w:p>
            <w:pPr>
              <w:jc w:val="right"/>
              <w:ind w:right="344"/>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Ex. Price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Contract Life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center"/>
              <w:ind w:right="237"/>
              <w:spacing w:after="0"/>
              <w:rPr>
                <w:sz w:val="20"/>
                <w:szCs w:val="20"/>
                <w:color w:val="auto"/>
              </w:rPr>
            </w:pPr>
            <w:r>
              <w:rPr>
                <w:rFonts w:ascii="Arial" w:cs="Arial" w:eastAsia="Arial" w:hAnsi="Arial"/>
                <w:sz w:val="14"/>
                <w:szCs w:val="14"/>
                <w:b w:val="1"/>
                <w:bCs w:val="1"/>
                <w:color w:val="auto"/>
              </w:rPr>
              <w:t>(000)</w:t>
            </w:r>
          </w:p>
        </w:tc>
        <w:tc>
          <w:tcPr>
            <w:tcW w:w="400" w:type="dxa"/>
            <w:vAlign w:val="bottom"/>
          </w:tcPr>
          <w:p>
            <w:pPr>
              <w:spacing w:after="0"/>
              <w:rPr>
                <w:sz w:val="17"/>
                <w:szCs w:val="17"/>
                <w:color w:val="auto"/>
              </w:rPr>
            </w:pPr>
          </w:p>
        </w:tc>
      </w:tr>
      <w:tr>
        <w:trPr>
          <w:trHeight w:val="270"/>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180" w:type="dxa"/>
            <w:vAlign w:val="bottom"/>
            <w:tcBorders>
              <w:top w:val="single" w:sz="8" w:color="auto"/>
            </w:tcBorders>
            <w:gridSpan w:val="3"/>
            <w:shd w:val="clear" w:color="auto" w:fill="CCEEFF"/>
          </w:tcPr>
          <w:p>
            <w:pPr>
              <w:jc w:val="right"/>
              <w:ind w:right="4"/>
              <w:spacing w:after="0"/>
              <w:rPr>
                <w:sz w:val="20"/>
                <w:szCs w:val="20"/>
                <w:color w:val="auto"/>
              </w:rPr>
            </w:pPr>
            <w:r>
              <w:rPr>
                <w:rFonts w:ascii="Arial" w:cs="Arial" w:eastAsia="Arial" w:hAnsi="Arial"/>
                <w:sz w:val="18"/>
                <w:szCs w:val="18"/>
                <w:color w:val="auto"/>
              </w:rPr>
              <w:t>17,692</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shd w:val="clear" w:color="auto" w:fill="CCEEFF"/>
          </w:tcPr>
          <w:p>
            <w:pPr>
              <w:jc w:val="center"/>
              <w:ind w:left="492"/>
              <w:spacing w:after="0"/>
              <w:rPr>
                <w:sz w:val="20"/>
                <w:szCs w:val="20"/>
                <w:color w:val="auto"/>
              </w:rPr>
            </w:pPr>
            <w:r>
              <w:rPr>
                <w:rFonts w:ascii="Arial" w:cs="Arial" w:eastAsia="Arial" w:hAnsi="Arial"/>
                <w:sz w:val="18"/>
                <w:szCs w:val="18"/>
                <w:color w:val="auto"/>
                <w:w w:val="99"/>
              </w:rPr>
              <w:t>14</w:t>
            </w: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400" w:type="dxa"/>
            <w:vAlign w:val="bottom"/>
          </w:tcPr>
          <w:p>
            <w:pPr>
              <w:spacing w:after="0"/>
              <w:rPr>
                <w:sz w:val="23"/>
                <w:szCs w:val="23"/>
                <w:color w:val="auto"/>
              </w:rPr>
            </w:pPr>
          </w:p>
        </w:tc>
      </w:tr>
      <w:tr>
        <w:trPr>
          <w:trHeight w:val="263"/>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180" w:type="dxa"/>
            <w:vAlign w:val="bottom"/>
            <w:gridSpan w:val="3"/>
          </w:tcPr>
          <w:p>
            <w:pPr>
              <w:jc w:val="right"/>
              <w:ind w:right="4"/>
              <w:spacing w:after="0"/>
              <w:rPr>
                <w:sz w:val="20"/>
                <w:szCs w:val="20"/>
                <w:color w:val="auto"/>
              </w:rPr>
            </w:pPr>
            <w:r>
              <w:rPr>
                <w:rFonts w:ascii="Arial" w:cs="Arial" w:eastAsia="Arial" w:hAnsi="Arial"/>
                <w:sz w:val="18"/>
                <w:szCs w:val="18"/>
                <w:color w:val="auto"/>
              </w:rPr>
              <w:t>3,227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3"/>
          </w:tcPr>
          <w:p>
            <w:pPr>
              <w:jc w:val="center"/>
              <w:ind w:left="492"/>
              <w:spacing w:after="0"/>
              <w:rPr>
                <w:sz w:val="20"/>
                <w:szCs w:val="20"/>
                <w:color w:val="auto"/>
              </w:rPr>
            </w:pPr>
            <w:r>
              <w:rPr>
                <w:rFonts w:ascii="Arial" w:cs="Arial" w:eastAsia="Arial" w:hAnsi="Arial"/>
                <w:sz w:val="18"/>
                <w:szCs w:val="18"/>
                <w:color w:val="auto"/>
                <w:w w:val="99"/>
              </w:rPr>
              <w:t>17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7"/>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center"/>
              <w:ind w:left="492"/>
              <w:spacing w:after="0"/>
              <w:rPr>
                <w:sz w:val="20"/>
                <w:szCs w:val="20"/>
                <w:color w:val="auto"/>
              </w:rPr>
            </w:pPr>
            <w:r>
              <w:rPr>
                <w:rFonts w:ascii="Arial" w:cs="Arial" w:eastAsia="Arial" w:hAnsi="Arial"/>
                <w:sz w:val="18"/>
                <w:szCs w:val="18"/>
                <w:color w:val="auto"/>
                <w:w w:val="99"/>
              </w:rPr>
              <w:t>12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31,790</w:t>
            </w:r>
          </w:p>
        </w:tc>
        <w:tc>
          <w:tcPr>
            <w:tcW w:w="400" w:type="dxa"/>
            <w:vAlign w:val="bottom"/>
          </w:tcPr>
          <w:p>
            <w:pPr>
              <w:spacing w:after="0"/>
              <w:rPr>
                <w:sz w:val="24"/>
                <w:szCs w:val="24"/>
                <w:color w:val="auto"/>
              </w:rPr>
            </w:pPr>
          </w:p>
        </w:tc>
      </w:tr>
      <w:tr>
        <w:trPr>
          <w:trHeight w:val="264"/>
        </w:trPr>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8"/>
                <w:szCs w:val="18"/>
                <w:color w:val="auto"/>
                <w:w w:val="99"/>
              </w:rPr>
              <w:t>15</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400" w:type="dxa"/>
            <w:vAlign w:val="bottom"/>
          </w:tcPr>
          <w:p>
            <w:pPr>
              <w:spacing w:after="0"/>
              <w:rPr>
                <w:sz w:val="22"/>
                <w:szCs w:val="22"/>
                <w:color w:val="auto"/>
              </w:rPr>
            </w:pPr>
          </w:p>
        </w:tc>
      </w:tr>
      <w:tr>
        <w:trPr>
          <w:trHeight w:val="257"/>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18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rPr>
              <w:t>14,252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center"/>
              <w:ind w:left="492"/>
              <w:spacing w:after="0"/>
              <w:rPr>
                <w:sz w:val="20"/>
                <w:szCs w:val="20"/>
                <w:color w:val="auto"/>
              </w:rPr>
            </w:pPr>
            <w:r>
              <w:rPr>
                <w:rFonts w:ascii="Arial" w:cs="Arial" w:eastAsia="Arial" w:hAnsi="Arial"/>
                <w:sz w:val="18"/>
                <w:szCs w:val="18"/>
                <w:color w:val="auto"/>
                <w:w w:val="99"/>
              </w:rPr>
              <w:t>15</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center"/>
              <w:ind w:right="440"/>
              <w:spacing w:after="0"/>
              <w:rPr>
                <w:sz w:val="20"/>
                <w:szCs w:val="20"/>
                <w:color w:val="auto"/>
              </w:rPr>
            </w:pPr>
            <w:r>
              <w:rPr>
                <w:rFonts w:ascii="Arial" w:cs="Arial" w:eastAsia="Arial" w:hAnsi="Arial"/>
                <w:sz w:val="18"/>
                <w:szCs w:val="18"/>
                <w:color w:val="auto"/>
                <w:w w:val="99"/>
              </w:rPr>
              <w:t>3 Yrs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67,763</w:t>
            </w:r>
          </w:p>
        </w:tc>
        <w:tc>
          <w:tcPr>
            <w:tcW w:w="400" w:type="dxa"/>
            <w:vAlign w:val="bottom"/>
          </w:tcPr>
          <w:p>
            <w:pPr>
              <w:spacing w:after="0"/>
              <w:rPr>
                <w:sz w:val="22"/>
                <w:szCs w:val="22"/>
                <w:color w:val="auto"/>
              </w:rPr>
            </w:pPr>
          </w:p>
        </w:tc>
      </w:tr>
      <w:tr>
        <w:trPr>
          <w:trHeight w:val="257"/>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Exercisable at End of Year</w:t>
            </w:r>
          </w:p>
        </w:tc>
        <w:tc>
          <w:tcPr>
            <w:tcW w:w="1180" w:type="dxa"/>
            <w:vAlign w:val="bottom"/>
            <w:gridSpan w:val="3"/>
          </w:tcPr>
          <w:p>
            <w:pPr>
              <w:jc w:val="right"/>
              <w:ind w:right="4"/>
              <w:spacing w:after="0"/>
              <w:rPr>
                <w:sz w:val="20"/>
                <w:szCs w:val="20"/>
                <w:color w:val="auto"/>
              </w:rPr>
            </w:pPr>
            <w:r>
              <w:rPr>
                <w:rFonts w:ascii="Arial" w:cs="Arial" w:eastAsia="Arial" w:hAnsi="Arial"/>
                <w:sz w:val="18"/>
                <w:szCs w:val="18"/>
                <w:color w:val="auto"/>
              </w:rPr>
              <w:t>4,855</w:t>
            </w:r>
          </w:p>
        </w:tc>
        <w:tc>
          <w:tcPr>
            <w:tcW w:w="120" w:type="dxa"/>
            <w:vAlign w:val="bottom"/>
          </w:tcPr>
          <w:p>
            <w:pPr>
              <w:spacing w:after="0"/>
              <w:rPr>
                <w:sz w:val="22"/>
                <w:szCs w:val="2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center"/>
              <w:ind w:left="492"/>
              <w:spacing w:after="0"/>
              <w:rPr>
                <w:sz w:val="20"/>
                <w:szCs w:val="20"/>
                <w:color w:val="auto"/>
              </w:rPr>
            </w:pPr>
            <w:r>
              <w:rPr>
                <w:rFonts w:ascii="Arial" w:cs="Arial" w:eastAsia="Arial" w:hAnsi="Arial"/>
                <w:sz w:val="18"/>
                <w:szCs w:val="18"/>
                <w:color w:val="auto"/>
                <w:w w:val="99"/>
              </w:rPr>
              <w:t>14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4"/>
          </w:tcPr>
          <w:p>
            <w:pPr>
              <w:jc w:val="center"/>
              <w:ind w:right="440"/>
              <w:spacing w:after="0"/>
              <w:rPr>
                <w:sz w:val="20"/>
                <w:szCs w:val="20"/>
                <w:color w:val="auto"/>
              </w:rPr>
            </w:pPr>
            <w:r>
              <w:rPr>
                <w:rFonts w:ascii="Arial" w:cs="Arial" w:eastAsia="Arial" w:hAnsi="Arial"/>
                <w:sz w:val="18"/>
                <w:szCs w:val="18"/>
                <w:color w:val="auto"/>
              </w:rPr>
              <w:t>2.3 Yrs</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30,021</w:t>
            </w:r>
          </w:p>
        </w:tc>
        <w:tc>
          <w:tcPr>
            <w:tcW w:w="400" w:type="dxa"/>
            <w:vAlign w:val="bottom"/>
          </w:tcPr>
          <w:p>
            <w:pPr>
              <w:spacing w:after="0"/>
              <w:rPr>
                <w:sz w:val="22"/>
                <w:szCs w:val="22"/>
                <w:color w:val="auto"/>
              </w:rPr>
            </w:pPr>
          </w:p>
        </w:tc>
      </w:tr>
      <w:tr>
        <w:trPr>
          <w:trHeight w:val="521"/>
        </w:trPr>
        <w:tc>
          <w:tcPr>
            <w:tcW w:w="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75"/>
        </w:trPr>
        <w:tc>
          <w:tcPr>
            <w:tcW w:w="3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Wtd. Avg.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Wtd. Avg.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Value</w:t>
            </w:r>
          </w:p>
        </w:tc>
      </w:tr>
      <w:tr>
        <w:trPr>
          <w:trHeight w:val="196"/>
        </w:trPr>
        <w:tc>
          <w:tcPr>
            <w:tcW w:w="380" w:type="dxa"/>
            <w:vAlign w:val="bottom"/>
            <w:tcBorders>
              <w:bottom w:val="single" w:sz="8" w:color="CCEEFF"/>
            </w:tcBorders>
          </w:tcPr>
          <w:p>
            <w:pPr>
              <w:spacing w:after="0"/>
              <w:rPr>
                <w:sz w:val="17"/>
                <w:szCs w:val="17"/>
                <w:color w:val="auto"/>
              </w:rPr>
            </w:pPr>
          </w:p>
        </w:tc>
        <w:tc>
          <w:tcPr>
            <w:tcW w:w="43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gridSpan w:val="2"/>
          </w:tcPr>
          <w:p>
            <w:pPr>
              <w:jc w:val="right"/>
              <w:ind w:right="244"/>
              <w:spacing w:after="0"/>
              <w:rPr>
                <w:sz w:val="20"/>
                <w:szCs w:val="20"/>
                <w:color w:val="auto"/>
              </w:rPr>
            </w:pPr>
            <w:r>
              <w:rPr>
                <w:rFonts w:ascii="Arial" w:cs="Arial" w:eastAsia="Arial" w:hAnsi="Arial"/>
                <w:sz w:val="14"/>
                <w:szCs w:val="14"/>
                <w:b w:val="1"/>
                <w:bCs w:val="1"/>
                <w:color w:val="auto"/>
              </w:rPr>
              <w:t>(000)</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Ex. Price</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Contract Life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rPr>
              <w:t>(000)</w:t>
            </w:r>
          </w:p>
        </w:tc>
        <w:tc>
          <w:tcPr>
            <w:tcW w:w="400" w:type="dxa"/>
            <w:vAlign w:val="bottom"/>
          </w:tcPr>
          <w:p>
            <w:pPr>
              <w:spacing w:after="0"/>
              <w:rPr>
                <w:sz w:val="17"/>
                <w:szCs w:val="17"/>
                <w:color w:val="auto"/>
              </w:rPr>
            </w:pPr>
          </w:p>
        </w:tc>
      </w:tr>
      <w:tr>
        <w:trPr>
          <w:trHeight w:val="27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17,829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0" w:type="dxa"/>
            <w:vAlign w:val="bottom"/>
            <w:tcBorders>
              <w:left w:val="single" w:sz="8" w:color="CCEEFF"/>
            </w:tcBorders>
          </w:tcPr>
          <w:p>
            <w:pPr>
              <w:spacing w:after="0"/>
              <w:rPr>
                <w:sz w:val="23"/>
                <w:szCs w:val="23"/>
                <w:color w:val="auto"/>
              </w:rPr>
            </w:pPr>
          </w:p>
        </w:tc>
      </w:tr>
      <w:tr>
        <w:trPr>
          <w:trHeight w:val="263"/>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7"/>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11,596</w:t>
            </w:r>
          </w:p>
        </w:tc>
        <w:tc>
          <w:tcPr>
            <w:tcW w:w="400" w:type="dxa"/>
            <w:vAlign w:val="bottom"/>
            <w:tcBorders>
              <w:left w:val="single" w:sz="8" w:color="CCEEFF"/>
            </w:tcBorders>
          </w:tcPr>
          <w:p>
            <w:pPr>
              <w:spacing w:after="0"/>
              <w:rPr>
                <w:sz w:val="24"/>
                <w:szCs w:val="24"/>
                <w:color w:val="auto"/>
              </w:rPr>
            </w:pPr>
          </w:p>
        </w:tc>
      </w:tr>
      <w:tr>
        <w:trPr>
          <w:trHeight w:val="264"/>
        </w:trPr>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400" w:type="dxa"/>
            <w:vAlign w:val="bottom"/>
          </w:tcPr>
          <w:p>
            <w:pPr>
              <w:spacing w:after="0"/>
              <w:rPr>
                <w:sz w:val="22"/>
                <w:szCs w:val="22"/>
                <w:color w:val="auto"/>
              </w:rPr>
            </w:pPr>
          </w:p>
        </w:tc>
      </w:tr>
      <w:tr>
        <w:trPr>
          <w:trHeight w:val="257"/>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17,692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3 Yrs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45,842</w:t>
            </w:r>
          </w:p>
        </w:tc>
        <w:tc>
          <w:tcPr>
            <w:tcW w:w="400" w:type="dxa"/>
            <w:vAlign w:val="bottom"/>
            <w:tcBorders>
              <w:left w:val="single" w:sz="8" w:color="CCEEFF"/>
            </w:tcBorders>
          </w:tcPr>
          <w:p>
            <w:pPr>
              <w:spacing w:after="0"/>
              <w:rPr>
                <w:sz w:val="22"/>
                <w:szCs w:val="22"/>
                <w:color w:val="auto"/>
              </w:rPr>
            </w:pPr>
          </w:p>
        </w:tc>
      </w:tr>
      <w:tr>
        <w:trPr>
          <w:trHeight w:val="257"/>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Exercisable at End of Year</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6,858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8"/>
                <w:szCs w:val="18"/>
                <w:color w:val="auto"/>
              </w:rPr>
              <w:t>2.1 Yrs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23,917</w:t>
            </w:r>
          </w:p>
        </w:tc>
        <w:tc>
          <w:tcPr>
            <w:tcW w:w="400" w:type="dxa"/>
            <w:vAlign w:val="bottom"/>
          </w:tcPr>
          <w:p>
            <w:pPr>
              <w:spacing w:after="0"/>
              <w:rPr>
                <w:sz w:val="22"/>
                <w:szCs w:val="22"/>
                <w:color w:val="auto"/>
              </w:rPr>
            </w:pPr>
          </w:p>
        </w:tc>
      </w:tr>
    </w:tbl>
    <w:p>
      <w:pPr>
        <w:spacing w:after="0" w:line="364" w:lineRule="exact"/>
        <w:rPr>
          <w:sz w:val="20"/>
          <w:szCs w:val="20"/>
          <w:color w:val="auto"/>
        </w:rPr>
      </w:pPr>
    </w:p>
    <w:p>
      <w:pPr>
        <w:ind w:left="652"/>
        <w:spacing w:after="0" w:line="262" w:lineRule="auto"/>
        <w:rPr>
          <w:sz w:val="20"/>
          <w:szCs w:val="20"/>
          <w:color w:val="auto"/>
        </w:rPr>
      </w:pPr>
      <w:r>
        <w:rPr>
          <w:rFonts w:ascii="Arial" w:cs="Arial" w:eastAsia="Arial" w:hAnsi="Arial"/>
          <w:sz w:val="18"/>
          <w:szCs w:val="18"/>
          <w:color w:val="auto"/>
        </w:rPr>
        <w:t>A summary of the status of the Company’s non-vested employee stock option activity for the years ended December 31, 2017, 2016, and 2015, are presented in the table and narrative below:</w:t>
      </w:r>
    </w:p>
    <w:p>
      <w:pPr>
        <w:spacing w:after="0" w:line="197" w:lineRule="exact"/>
        <w:rPr>
          <w:sz w:val="20"/>
          <w:szCs w:val="20"/>
          <w:color w:val="auto"/>
        </w:rPr>
      </w:pPr>
    </w:p>
    <w:tbl>
      <w:tblPr>
        <w:tblLayout w:type="fixed"/>
        <w:tblInd w:w="652" w:type="dxa"/>
        <w:tblCellMar>
          <w:top w:w="0" w:type="dxa"/>
          <w:left w:w="0" w:type="dxa"/>
          <w:bottom w:w="0" w:type="dxa"/>
          <w:right w:w="0" w:type="dxa"/>
        </w:tblCellMar>
      </w:tblPr>
      <w:tr>
        <w:trPr>
          <w:trHeight w:val="196"/>
        </w:trPr>
        <w:tc>
          <w:tcPr>
            <w:tcW w:w="3840" w:type="dxa"/>
            <w:vAlign w:val="bottom"/>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17"/>
                <w:szCs w:val="17"/>
                <w:color w:val="auto"/>
              </w:rPr>
            </w:pPr>
          </w:p>
        </w:tc>
      </w:tr>
      <w:tr>
        <w:trPr>
          <w:trHeight w:val="175"/>
        </w:trPr>
        <w:tc>
          <w:tcPr>
            <w:tcW w:w="3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Wtd. Avg</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Wtd. Avg</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rPr>
              <w:t>Wtd. Avg</w:t>
            </w:r>
          </w:p>
        </w:tc>
      </w:tr>
      <w:tr>
        <w:trPr>
          <w:trHeight w:val="162"/>
        </w:trPr>
        <w:tc>
          <w:tcPr>
            <w:tcW w:w="3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rPr>
              <w:t>Grant</w:t>
            </w:r>
          </w:p>
        </w:tc>
      </w:tr>
      <w:tr>
        <w:trPr>
          <w:trHeight w:val="162"/>
        </w:trPr>
        <w:tc>
          <w:tcPr>
            <w:tcW w:w="384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Date</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Date</w:t>
            </w:r>
          </w:p>
        </w:tc>
      </w:tr>
      <w:tr>
        <w:trPr>
          <w:trHeight w:val="196"/>
        </w:trPr>
        <w:tc>
          <w:tcPr>
            <w:tcW w:w="3840" w:type="dxa"/>
            <w:vAlign w:val="bottom"/>
          </w:tcPr>
          <w:p>
            <w:pPr>
              <w:spacing w:after="0"/>
              <w:rPr>
                <w:sz w:val="17"/>
                <w:szCs w:val="17"/>
                <w:color w:val="auto"/>
              </w:rPr>
            </w:pPr>
          </w:p>
        </w:tc>
        <w:tc>
          <w:tcPr>
            <w:tcW w:w="880" w:type="dxa"/>
            <w:vAlign w:val="bottom"/>
          </w:tcPr>
          <w:p>
            <w:pPr>
              <w:jc w:val="right"/>
              <w:ind w:right="197"/>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7"/>
                <w:szCs w:val="17"/>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right"/>
              <w:ind w:right="177"/>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7"/>
                <w:szCs w:val="17"/>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Fair Value</w:t>
            </w:r>
          </w:p>
        </w:tc>
        <w:tc>
          <w:tcPr>
            <w:tcW w:w="980" w:type="dxa"/>
            <w:vAlign w:val="bottom"/>
          </w:tcPr>
          <w:p>
            <w:pPr>
              <w:jc w:val="right"/>
              <w:ind w:right="237"/>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Stock Options at Beginning of Year</w:t>
            </w:r>
          </w:p>
        </w:tc>
        <w:tc>
          <w:tcPr>
            <w:tcW w:w="8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9,397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r>
      <w:tr>
        <w:trPr>
          <w:trHeight w:val="263"/>
        </w:trPr>
        <w:tc>
          <w:tcPr>
            <w:tcW w:w="3840" w:type="dxa"/>
            <w:vAlign w:val="bottom"/>
          </w:tcPr>
          <w:p>
            <w:pPr>
              <w:ind w:left="20"/>
              <w:spacing w:after="0"/>
              <w:rPr>
                <w:sz w:val="20"/>
                <w:szCs w:val="20"/>
                <w:color w:val="auto"/>
              </w:rPr>
            </w:pPr>
            <w:r>
              <w:rPr>
                <w:rFonts w:ascii="Arial" w:cs="Arial" w:eastAsia="Arial" w:hAnsi="Arial"/>
                <w:sz w:val="16"/>
                <w:szCs w:val="16"/>
                <w:color w:val="auto"/>
              </w:rPr>
              <w:t>Granted</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4</w:t>
            </w:r>
          </w:p>
        </w:tc>
      </w:tr>
      <w:tr>
        <w:trPr>
          <w:trHeight w:val="27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r>
      <w:tr>
        <w:trPr>
          <w:trHeight w:val="264"/>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w:t>
            </w:r>
          </w:p>
        </w:tc>
      </w:tr>
      <w:tr>
        <w:trPr>
          <w:trHeight w:val="25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Stock Options at End of Year</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6,540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ectPr>
          <w:pgSz w:w="11900" w:h="16838" w:orient="portrait"/>
          <w:cols w:equalWidth="0" w:num="1">
            <w:col w:w="11412"/>
          </w:cols>
          <w:pgMar w:left="248" w:top="118" w:right="239" w:bottom="1440" w:gutter="0" w:footer="0" w:header="0"/>
        </w:sectPr>
      </w:pPr>
    </w:p>
    <w:p>
      <w:pPr>
        <w:spacing w:after="0" w:line="393"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12"/>
          </w:cols>
          <w:pgMar w:left="248" w:top="118"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STOCK-BASED COMPENSATION PLANS, continued</w:t>
      </w:r>
    </w:p>
    <w:p>
      <w:pPr>
        <w:spacing w:after="0" w:line="38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Non-employee Director Stock Option Plan</w:t>
      </w:r>
    </w:p>
    <w:p>
      <w:pPr>
        <w:spacing w:after="0" w:line="144"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In 2012, an Amended and Restated Non-employee Director Stock Option Plan, covering a total of 1,000,000 shares of common stock, was approved by shareholders replacing a prior plan. The Company has granted options on 427,000 shares (net of shares from canceled options) under the new director plan and 1,074,480 shares (net of shares from canceled options) under a prior plan through December 31, 2017. Under the shareholder approved plans, the option exercise price equals the stock's market price on date of grant. The options vest after six months, and expire after ten years.</w:t>
      </w:r>
    </w:p>
    <w:p>
      <w:pPr>
        <w:spacing w:after="0" w:line="124" w:lineRule="exact"/>
        <w:rPr>
          <w:rFonts w:ascii="Arial" w:cs="Arial" w:eastAsia="Arial" w:hAnsi="Arial"/>
          <w:sz w:val="18"/>
          <w:szCs w:val="18"/>
          <w:color w:val="auto"/>
        </w:rPr>
      </w:pPr>
    </w:p>
    <w:p>
      <w:pPr>
        <w:ind w:left="660"/>
        <w:spacing w:after="0" w:line="262" w:lineRule="auto"/>
        <w:rPr>
          <w:rFonts w:ascii="Arial" w:cs="Arial" w:eastAsia="Arial" w:hAnsi="Arial"/>
          <w:sz w:val="18"/>
          <w:szCs w:val="18"/>
          <w:color w:val="auto"/>
        </w:rPr>
      </w:pPr>
      <w:r>
        <w:rPr>
          <w:rFonts w:ascii="Arial" w:cs="Arial" w:eastAsia="Arial" w:hAnsi="Arial"/>
          <w:sz w:val="18"/>
          <w:szCs w:val="18"/>
          <w:color w:val="auto"/>
        </w:rPr>
        <w:t>The fair value of each option grant in the Non-employee Director Stock Option Plans was estimated on the date of grant using the Black-Scholes option pricing model with the following weighted-average assumptions for the indicated periods:</w:t>
      </w:r>
    </w:p>
    <w:p>
      <w:pPr>
        <w:spacing w:after="0" w:line="346"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3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5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1"/>
                <w:szCs w:val="21"/>
                <w:color w:val="auto"/>
                <w:vertAlign w:val="superscript"/>
              </w:rPr>
              <w:t>(2)</w:t>
            </w:r>
          </w:p>
        </w:tc>
        <w:tc>
          <w:tcPr>
            <w:tcW w:w="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1"/>
                <w:szCs w:val="21"/>
                <w:color w:val="auto"/>
                <w:vertAlign w:val="superscript"/>
              </w:rPr>
              <w:t>(3)</w:t>
            </w: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 xml:space="preserve">Expected term of options (in years) </w:t>
            </w:r>
            <w:r>
              <w:rPr>
                <w:rFonts w:ascii="Arial" w:cs="Arial" w:eastAsia="Arial" w:hAnsi="Arial"/>
                <w:sz w:val="21"/>
                <w:szCs w:val="21"/>
                <w:color w:val="auto"/>
                <w:vertAlign w:val="superscript"/>
              </w:rPr>
              <w:t>(4)</w:t>
            </w:r>
          </w:p>
        </w:tc>
        <w:tc>
          <w:tcPr>
            <w:tcW w:w="900" w:type="dxa"/>
            <w:vAlign w:val="bottom"/>
          </w:tcPr>
          <w:p>
            <w:pPr>
              <w:spacing w:after="0"/>
              <w:rPr>
                <w:sz w:val="23"/>
                <w:szCs w:val="23"/>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6.0</w:t>
            </w:r>
          </w:p>
        </w:tc>
      </w:tr>
      <w:tr>
        <w:trPr>
          <w:trHeight w:val="27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r>
    </w:tbl>
    <w:p>
      <w:pPr>
        <w:spacing w:after="0" w:line="134"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Company's estimated cash dividend yield over the expected term of option grant.</w:t>
      </w:r>
    </w:p>
    <w:p>
      <w:pPr>
        <w:spacing w:after="0" w:line="144"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1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U.S. Treasury yield over the expected term of the option grant.</w:t>
      </w:r>
    </w:p>
    <w:p>
      <w:pPr>
        <w:spacing w:after="0" w:line="144"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period of time that options granted are expected to be outstanding. Based on analysis of historical option exercise activity, the Company has determined that non-employee directors exhibit similar exercise and post-vesting termination behavior.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there were no unrecognized compensation costs related to share-based payments under this plan.</w:t>
      </w:r>
    </w:p>
    <w:p>
      <w:pPr>
        <w:spacing w:after="0" w:line="144" w:lineRule="exact"/>
        <w:rPr>
          <w:sz w:val="20"/>
          <w:szCs w:val="20"/>
          <w:color w:val="auto"/>
        </w:rPr>
      </w:pPr>
    </w:p>
    <w:p>
      <w:pPr>
        <w:ind w:left="660" w:right="20"/>
        <w:spacing w:after="0" w:line="262" w:lineRule="auto"/>
        <w:rPr>
          <w:sz w:val="20"/>
          <w:szCs w:val="20"/>
          <w:color w:val="auto"/>
        </w:rPr>
      </w:pPr>
      <w:r>
        <w:rPr>
          <w:rFonts w:ascii="Arial" w:cs="Arial" w:eastAsia="Arial" w:hAnsi="Arial"/>
          <w:sz w:val="18"/>
          <w:szCs w:val="18"/>
          <w:color w:val="auto"/>
        </w:rPr>
        <w:t>A summary of the status of the Company’s Non-employee Director Stock Option Plan at December 31, 2017, 2016, and 2015, and changes during the same periods are presented in the tables and narrative below:</w:t>
      </w:r>
    </w:p>
    <w:p>
      <w:pPr>
        <w:spacing w:after="0" w:line="143" w:lineRule="exact"/>
        <w:rPr>
          <w:sz w:val="20"/>
          <w:szCs w:val="20"/>
          <w:color w:val="auto"/>
        </w:rPr>
      </w:pPr>
    </w:p>
    <w:tbl>
      <w:tblPr>
        <w:tblLayout w:type="fixed"/>
        <w:tblInd w:w="1040" w:type="dxa"/>
        <w:tblCellMar>
          <w:top w:w="0" w:type="dxa"/>
          <w:left w:w="0" w:type="dxa"/>
          <w:bottom w:w="0" w:type="dxa"/>
          <w:right w:w="0" w:type="dxa"/>
        </w:tblCellMar>
      </w:tblPr>
      <w:tr>
        <w:trPr>
          <w:trHeight w:val="196"/>
        </w:trPr>
        <w:tc>
          <w:tcPr>
            <w:tcW w:w="3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5"/>
        </w:trPr>
        <w:tc>
          <w:tcPr>
            <w:tcW w:w="3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02"/>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Wtd. Avg.</w:t>
            </w:r>
          </w:p>
        </w:tc>
        <w:tc>
          <w:tcPr>
            <w:tcW w:w="180" w:type="dxa"/>
            <w:vAlign w:val="bottom"/>
          </w:tcPr>
          <w:p>
            <w:pPr>
              <w:spacing w:after="0"/>
              <w:rPr>
                <w:sz w:val="14"/>
                <w:szCs w:val="14"/>
                <w:color w:val="auto"/>
              </w:rPr>
            </w:pPr>
          </w:p>
        </w:tc>
        <w:tc>
          <w:tcPr>
            <w:tcW w:w="1020" w:type="dxa"/>
            <w:vAlign w:val="bottom"/>
          </w:tcPr>
          <w:p>
            <w:pPr>
              <w:jc w:val="center"/>
              <w:ind w:right="142"/>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3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jc w:val="right"/>
              <w:ind w:right="26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14"/>
              <w:spacing w:after="0"/>
              <w:rPr>
                <w:sz w:val="20"/>
                <w:szCs w:val="20"/>
                <w:color w:val="auto"/>
              </w:rPr>
            </w:pPr>
            <w:r>
              <w:rPr>
                <w:rFonts w:ascii="Arial" w:cs="Arial" w:eastAsia="Arial" w:hAnsi="Arial"/>
                <w:sz w:val="14"/>
                <w:szCs w:val="14"/>
                <w:b w:val="1"/>
                <w:bCs w:val="1"/>
                <w:color w:val="auto"/>
              </w:rPr>
              <w:t>Wtd. Avg.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020" w:type="dxa"/>
            <w:vAlign w:val="bottom"/>
          </w:tcPr>
          <w:p>
            <w:pPr>
              <w:jc w:val="center"/>
              <w:ind w:right="102"/>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362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(000)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Ex. Price</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 Life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7"/>
              </w:rPr>
              <w:t>(000)</w:t>
            </w:r>
          </w:p>
        </w:tc>
      </w:tr>
      <w:tr>
        <w:trPr>
          <w:trHeight w:val="270"/>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24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381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3"/>
        </w:trPr>
        <w:tc>
          <w:tcPr>
            <w:tcW w:w="3620" w:type="dxa"/>
            <w:vAlign w:val="bottom"/>
          </w:tcPr>
          <w:p>
            <w:pPr>
              <w:ind w:left="40"/>
              <w:spacing w:after="0"/>
              <w:rPr>
                <w:sz w:val="20"/>
                <w:szCs w:val="20"/>
                <w:color w:val="auto"/>
              </w:rPr>
            </w:pPr>
            <w:r>
              <w:rPr>
                <w:rFonts w:ascii="Arial" w:cs="Arial" w:eastAsia="Arial" w:hAnsi="Arial"/>
                <w:sz w:val="18"/>
                <w:szCs w:val="18"/>
                <w:color w:val="auto"/>
              </w:rPr>
              <w:t>Granted</w:t>
            </w:r>
          </w:p>
        </w:tc>
        <w:tc>
          <w:tcPr>
            <w:tcW w:w="2420" w:type="dxa"/>
            <w:vAlign w:val="bottom"/>
            <w:gridSpan w:val="2"/>
          </w:tcPr>
          <w:p>
            <w:pPr>
              <w:jc w:val="right"/>
              <w:ind w:right="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7"/>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r>
      <w:tr>
        <w:trPr>
          <w:trHeight w:val="257"/>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24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6.1 Yrs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2,565</w:t>
            </w: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Exercisable at End of Year</w:t>
            </w:r>
          </w:p>
        </w:tc>
        <w:tc>
          <w:tcPr>
            <w:tcW w:w="2420" w:type="dxa"/>
            <w:vAlign w:val="bottom"/>
            <w:gridSpan w:val="2"/>
          </w:tcPr>
          <w:p>
            <w:pPr>
              <w:jc w:val="right"/>
              <w:ind w:right="2"/>
              <w:spacing w:after="0"/>
              <w:rPr>
                <w:sz w:val="20"/>
                <w:szCs w:val="20"/>
                <w:color w:val="auto"/>
              </w:rPr>
            </w:pPr>
            <w:r>
              <w:rPr>
                <w:rFonts w:ascii="Arial" w:cs="Arial" w:eastAsia="Arial" w:hAnsi="Arial"/>
                <w:sz w:val="18"/>
                <w:szCs w:val="18"/>
                <w:color w:val="auto"/>
              </w:rPr>
              <w:t>406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rPr>
              <w:t>6.1 Yrs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
              <w:spacing w:after="0"/>
              <w:rPr>
                <w:sz w:val="20"/>
                <w:szCs w:val="20"/>
                <w:color w:val="auto"/>
              </w:rPr>
            </w:pPr>
            <w:r>
              <w:rPr>
                <w:rFonts w:ascii="Arial" w:cs="Arial" w:eastAsia="Arial" w:hAnsi="Arial"/>
                <w:sz w:val="18"/>
                <w:szCs w:val="18"/>
                <w:color w:val="auto"/>
              </w:rPr>
              <w:t>2,565</w:t>
            </w:r>
          </w:p>
        </w:tc>
      </w:tr>
      <w:tr>
        <w:trPr>
          <w:trHeight w:val="689"/>
        </w:trPr>
        <w:tc>
          <w:tcPr>
            <w:tcW w:w="36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STOCK-BASED COMPENSATION PLANS, continued</w:t>
      </w:r>
    </w:p>
    <w:p>
      <w:pPr>
        <w:spacing w:after="0" w:line="200" w:lineRule="exact"/>
        <w:rPr>
          <w:sz w:val="20"/>
          <w:szCs w:val="20"/>
          <w:color w:val="auto"/>
        </w:rPr>
      </w:pP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75"/>
        </w:trPr>
        <w:tc>
          <w:tcPr>
            <w:tcW w:w="4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Wtd. Avg.</w:t>
            </w:r>
          </w:p>
        </w:tc>
        <w:tc>
          <w:tcPr>
            <w:tcW w:w="180" w:type="dxa"/>
            <w:vAlign w:val="bottom"/>
          </w:tcPr>
          <w:p>
            <w:pPr>
              <w:spacing w:after="0"/>
              <w:rPr>
                <w:sz w:val="14"/>
                <w:szCs w:val="14"/>
                <w:color w:val="auto"/>
              </w:rPr>
            </w:pPr>
          </w:p>
        </w:tc>
        <w:tc>
          <w:tcPr>
            <w:tcW w:w="1040" w:type="dxa"/>
            <w:vAlign w:val="bottom"/>
          </w:tcPr>
          <w:p>
            <w:pPr>
              <w:jc w:val="center"/>
              <w:ind w:right="162"/>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8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Wtd. Avg.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Value</w:t>
            </w:r>
          </w:p>
        </w:tc>
      </w:tr>
      <w:tr>
        <w:trPr>
          <w:trHeight w:val="196"/>
        </w:trPr>
        <w:tc>
          <w:tcPr>
            <w:tcW w:w="48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(000)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 Price</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 Life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(000)</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4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r>
      <w:tr>
        <w:trPr>
          <w:trHeight w:val="25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6.4 Yrs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2,180</w:t>
            </w:r>
          </w:p>
        </w:tc>
      </w:tr>
      <w:tr>
        <w:trPr>
          <w:trHeight w:val="257"/>
        </w:trPr>
        <w:tc>
          <w:tcPr>
            <w:tcW w:w="4840" w:type="dxa"/>
            <w:vAlign w:val="bottom"/>
          </w:tcPr>
          <w:p>
            <w:pPr>
              <w:ind w:left="20"/>
              <w:spacing w:after="0"/>
              <w:rPr>
                <w:sz w:val="20"/>
                <w:szCs w:val="20"/>
                <w:color w:val="auto"/>
              </w:rPr>
            </w:pPr>
            <w:r>
              <w:rPr>
                <w:rFonts w:ascii="Arial" w:cs="Arial" w:eastAsia="Arial" w:hAnsi="Arial"/>
                <w:sz w:val="18"/>
                <w:szCs w:val="18"/>
                <w:color w:val="auto"/>
              </w:rPr>
              <w:t>Exercisable at End of Year</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381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rPr>
              <w:t>6.4 Yrs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2"/>
              <w:spacing w:after="0"/>
              <w:rPr>
                <w:sz w:val="20"/>
                <w:szCs w:val="20"/>
                <w:color w:val="auto"/>
              </w:rPr>
            </w:pPr>
            <w:r>
              <w:rPr>
                <w:rFonts w:ascii="Arial" w:cs="Arial" w:eastAsia="Arial" w:hAnsi="Arial"/>
                <w:sz w:val="18"/>
                <w:szCs w:val="18"/>
                <w:color w:val="auto"/>
              </w:rPr>
              <w:t>2,180</w:t>
            </w:r>
          </w:p>
        </w:tc>
      </w:tr>
      <w:tr>
        <w:trPr>
          <w:trHeight w:val="521"/>
        </w:trPr>
        <w:tc>
          <w:tcPr>
            <w:tcW w:w="484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75"/>
        </w:trPr>
        <w:tc>
          <w:tcPr>
            <w:tcW w:w="4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Wtd. Avg.</w:t>
            </w:r>
          </w:p>
        </w:tc>
        <w:tc>
          <w:tcPr>
            <w:tcW w:w="180" w:type="dxa"/>
            <w:vAlign w:val="bottom"/>
          </w:tcPr>
          <w:p>
            <w:pPr>
              <w:spacing w:after="0"/>
              <w:rPr>
                <w:sz w:val="14"/>
                <w:szCs w:val="14"/>
                <w:color w:val="auto"/>
              </w:rPr>
            </w:pPr>
          </w:p>
        </w:tc>
        <w:tc>
          <w:tcPr>
            <w:tcW w:w="1040" w:type="dxa"/>
            <w:vAlign w:val="bottom"/>
          </w:tcPr>
          <w:p>
            <w:pPr>
              <w:jc w:val="center"/>
              <w:ind w:right="162"/>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8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Wtd. Avg.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Value</w:t>
            </w:r>
          </w:p>
        </w:tc>
      </w:tr>
      <w:tr>
        <w:trPr>
          <w:trHeight w:val="196"/>
        </w:trPr>
        <w:tc>
          <w:tcPr>
            <w:tcW w:w="48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(000)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 Price</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 Life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(000)</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4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r>
      <w:tr>
        <w:trPr>
          <w:trHeight w:val="25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6.4 Yrs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1,069</w:t>
            </w:r>
          </w:p>
        </w:tc>
      </w:tr>
      <w:tr>
        <w:trPr>
          <w:trHeight w:val="257"/>
        </w:trPr>
        <w:tc>
          <w:tcPr>
            <w:tcW w:w="4840" w:type="dxa"/>
            <w:vAlign w:val="bottom"/>
          </w:tcPr>
          <w:p>
            <w:pPr>
              <w:ind w:left="20"/>
              <w:spacing w:after="0"/>
              <w:rPr>
                <w:sz w:val="20"/>
                <w:szCs w:val="20"/>
                <w:color w:val="auto"/>
              </w:rPr>
            </w:pPr>
            <w:r>
              <w:rPr>
                <w:rFonts w:ascii="Arial" w:cs="Arial" w:eastAsia="Arial" w:hAnsi="Arial"/>
                <w:sz w:val="18"/>
                <w:szCs w:val="18"/>
                <w:color w:val="auto"/>
              </w:rPr>
              <w:t>Exercisable at End of Year</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373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rPr>
              <w:t>6.4 Yrs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2"/>
              <w:spacing w:after="0"/>
              <w:rPr>
                <w:sz w:val="20"/>
                <w:szCs w:val="20"/>
                <w:color w:val="auto"/>
              </w:rPr>
            </w:pPr>
            <w:r>
              <w:rPr>
                <w:rFonts w:ascii="Arial" w:cs="Arial" w:eastAsia="Arial" w:hAnsi="Arial"/>
                <w:sz w:val="18"/>
                <w:szCs w:val="18"/>
                <w:color w:val="auto"/>
              </w:rPr>
              <w:t>1,069</w:t>
            </w:r>
          </w:p>
        </w:tc>
      </w:tr>
    </w:tbl>
    <w:p>
      <w:pPr>
        <w:spacing w:after="0" w:line="31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 summary of the status of the Company’s nonvested Non-employee Director Stock Option Plan activity for the years ended December 31, 2017, 2016, and 2015, are presented in the table and narrative below:</w:t>
      </w:r>
    </w:p>
    <w:p>
      <w:pPr>
        <w:spacing w:after="0" w:line="346"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6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2017</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w w:val="96"/>
              </w:rPr>
              <w:t>2015</w:t>
            </w:r>
          </w:p>
        </w:tc>
      </w:tr>
      <w:tr>
        <w:trPr>
          <w:trHeight w:val="175"/>
        </w:trPr>
        <w:tc>
          <w:tcPr>
            <w:tcW w:w="3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Wtd. Avg</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Wtd. Avg</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7"/>
              <w:spacing w:after="0"/>
              <w:rPr>
                <w:sz w:val="20"/>
                <w:szCs w:val="20"/>
                <w:color w:val="auto"/>
              </w:rPr>
            </w:pPr>
            <w:r>
              <w:rPr>
                <w:rFonts w:ascii="Arial" w:cs="Arial" w:eastAsia="Arial" w:hAnsi="Arial"/>
                <w:sz w:val="14"/>
                <w:szCs w:val="14"/>
                <w:b w:val="1"/>
                <w:bCs w:val="1"/>
                <w:color w:val="auto"/>
              </w:rPr>
              <w:t>Wtd. Avg</w:t>
            </w:r>
          </w:p>
        </w:tc>
      </w:tr>
      <w:tr>
        <w:trPr>
          <w:trHeight w:val="162"/>
        </w:trPr>
        <w:tc>
          <w:tcPr>
            <w:tcW w:w="3620" w:type="dxa"/>
            <w:vAlign w:val="bottom"/>
          </w:tcPr>
          <w:p>
            <w:pPr>
              <w:spacing w:after="0"/>
              <w:rPr>
                <w:sz w:val="14"/>
                <w:szCs w:val="14"/>
                <w:color w:val="auto"/>
              </w:rPr>
            </w:pPr>
          </w:p>
        </w:tc>
        <w:tc>
          <w:tcPr>
            <w:tcW w:w="900" w:type="dxa"/>
            <w:vAlign w:val="bottom"/>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Grant Date</w:t>
            </w: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w:t>
            </w: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7"/>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3620" w:type="dxa"/>
            <w:vAlign w:val="bottom"/>
          </w:tcPr>
          <w:p>
            <w:pPr>
              <w:spacing w:after="0"/>
              <w:rPr>
                <w:sz w:val="17"/>
                <w:szCs w:val="17"/>
                <w:color w:val="auto"/>
              </w:rPr>
            </w:pPr>
          </w:p>
        </w:tc>
        <w:tc>
          <w:tcPr>
            <w:tcW w:w="900" w:type="dxa"/>
            <w:vAlign w:val="bottom"/>
          </w:tcPr>
          <w:p>
            <w:pPr>
              <w:jc w:val="right"/>
              <w:ind w:right="155"/>
              <w:spacing w:after="0"/>
              <w:rPr>
                <w:sz w:val="20"/>
                <w:szCs w:val="20"/>
                <w:color w:val="auto"/>
              </w:rPr>
            </w:pPr>
            <w:r>
              <w:rPr>
                <w:rFonts w:ascii="Arial" w:cs="Arial" w:eastAsia="Arial" w:hAnsi="Arial"/>
                <w:sz w:val="14"/>
                <w:szCs w:val="14"/>
                <w:b w:val="1"/>
                <w:bCs w:val="1"/>
                <w:color w:val="auto"/>
              </w:rPr>
              <w:t>(000)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rPr>
              <w:t>(000)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rPr>
              <w:t>(000)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rPr>
              <w:t>Fair Value</w:t>
            </w:r>
          </w:p>
        </w:tc>
      </w:tr>
      <w:tr>
        <w:trPr>
          <w:trHeight w:val="215"/>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Options at Beginning of</w:t>
            </w: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3620" w:type="dxa"/>
            <w:vAlign w:val="bottom"/>
          </w:tcPr>
          <w:p>
            <w:pPr>
              <w:ind w:left="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5</w:t>
            </w:r>
          </w:p>
        </w:tc>
      </w:tr>
      <w:tr>
        <w:trPr>
          <w:trHeight w:val="27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r>
      <w:tr>
        <w:trPr>
          <w:trHeight w:val="264"/>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r>
      <w:tr>
        <w:trPr>
          <w:trHeight w:val="25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stock options at End of 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Employee Stock Purchase Plan</w:t>
      </w:r>
    </w:p>
    <w:p>
      <w:pPr>
        <w:spacing w:after="0" w:line="14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2013, the Gentex Corporation Employee Stock Purchase Plan covering 2,000,000 shares of common stock was approved by the shareholders, replacing a prior plan. Under such plan, the Company sells shares at 85% of the stock’s market price at date of purchase. Under ASC 718, the 15% discounted value is recognized as compensation expense. The following table summarizes shares sold to employees under the 2013 Plan in the years ended December 31, 2017, 2016 and 2015.</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64"/>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Cumulative Shares</w:t>
            </w:r>
          </w:p>
        </w:tc>
        <w:tc>
          <w:tcPr>
            <w:tcW w:w="180" w:type="dxa"/>
            <w:vAlign w:val="bottom"/>
          </w:tcPr>
          <w:p>
            <w:pPr>
              <w:spacing w:after="0"/>
              <w:rPr>
                <w:sz w:val="14"/>
                <w:szCs w:val="14"/>
                <w:color w:val="auto"/>
              </w:rPr>
            </w:pPr>
          </w:p>
        </w:tc>
        <w:tc>
          <w:tcPr>
            <w:tcW w:w="1060" w:type="dxa"/>
            <w:vAlign w:val="bottom"/>
          </w:tcPr>
          <w:p>
            <w:pPr>
              <w:jc w:val="center"/>
              <w:ind w:right="84"/>
              <w:spacing w:after="0"/>
              <w:rPr>
                <w:sz w:val="20"/>
                <w:szCs w:val="20"/>
                <w:color w:val="auto"/>
              </w:rPr>
            </w:pPr>
            <w:r>
              <w:rPr>
                <w:rFonts w:ascii="Arial" w:cs="Arial" w:eastAsia="Arial" w:hAnsi="Arial"/>
                <w:sz w:val="14"/>
                <w:szCs w:val="14"/>
                <w:b w:val="1"/>
                <w:bCs w:val="1"/>
                <w:color w:val="auto"/>
              </w:rPr>
              <w:t>Average Fair</w:t>
            </w:r>
          </w:p>
        </w:tc>
      </w:tr>
      <w:tr>
        <w:trPr>
          <w:trHeight w:val="196"/>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w:t>
            </w: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Issued in 2017</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Value 2017</w:t>
            </w:r>
          </w:p>
        </w:tc>
      </w:tr>
      <w:tr>
        <w:trPr>
          <w:trHeight w:val="25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Employee Stock Purchase Plan</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175,479</w:t>
            </w:r>
          </w:p>
        </w:tc>
        <w:tc>
          <w:tcPr>
            <w:tcW w:w="18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177,781</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201,785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17.12</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118"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STOCK-BASED COMPENSATION PLANS, continued</w:t>
      </w:r>
    </w:p>
    <w:p>
      <w:pPr>
        <w:spacing w:after="0" w:line="38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Restricted Stock Plan</w:t>
      </w:r>
    </w:p>
    <w:p>
      <w:pPr>
        <w:spacing w:after="0" w:line="144" w:lineRule="exact"/>
        <w:rPr>
          <w:rFonts w:ascii="Arial" w:cs="Arial" w:eastAsia="Arial" w:hAnsi="Arial"/>
          <w:sz w:val="18"/>
          <w:szCs w:val="18"/>
          <w:color w:val="auto"/>
        </w:rPr>
      </w:pPr>
    </w:p>
    <w:p>
      <w:pPr>
        <w:jc w:val="both"/>
        <w:ind w:left="660"/>
        <w:spacing w:after="0" w:line="251" w:lineRule="auto"/>
        <w:rPr>
          <w:rFonts w:ascii="Arial" w:cs="Arial" w:eastAsia="Arial" w:hAnsi="Arial"/>
          <w:sz w:val="18"/>
          <w:szCs w:val="18"/>
          <w:color w:val="auto"/>
        </w:rPr>
      </w:pPr>
      <w:r>
        <w:rPr>
          <w:rFonts w:ascii="Arial" w:cs="Arial" w:eastAsia="Arial" w:hAnsi="Arial"/>
          <w:sz w:val="18"/>
          <w:szCs w:val="18"/>
          <w:color w:val="auto"/>
        </w:rPr>
        <w:t>In 2015, an amendment to the Company’s Second Restricted Stock Plan was approved by shareholders. The Plan amendment increased the maximum number of shares that may be subject to awards to 9,000,000 shares and to extend the Plan’s termination date to February 19, 2025. The purpose of this plan is to permit grants of shares, subject to restrictions, to employees of the Company as a means of retaining and rewarding them for performance and to increase their ownership in the Company. Shares awarded under the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2,019,404 shares outstanding and has issued 5,334,225 shares under the plan as of December 31, 2017. During 2017, 2016, and 2015, 228,630, 246,660 and 229,660 shares, respectively, were granted with a restriction period of five years, and 628,015 during 2017 with a restriction of four years, and cliff vest after the restriction period with no additional restrictions, at market prices ranging from $18.97 to $21.33 in 2017, $14.70 to $19.69 in 2016, and $15.50 to $18.30 in 2015, and has unearned stock-based compensation of $22,417,962 associated with these restricted stock grants. The unearned stock-based compensation related to these grants is being amortized to compensation expense over the applicable restriction periods. Amortization expense of restricted stock for years ended December 31, 2017, 2016 and 2015 was $5,353,339, $3,885,042, and$3,486,242 respectively.</w:t>
      </w:r>
    </w:p>
    <w:p>
      <w:pPr>
        <w:spacing w:after="0" w:line="318"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44"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matters that constitute material pending legal proceedings that will have a material adverse effect on the financial position or future results of operations of the Company.</w:t>
      </w:r>
    </w:p>
    <w:p>
      <w:pPr>
        <w:spacing w:after="0" w:line="151"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126" w:lineRule="exact"/>
        <w:rPr>
          <w:rFonts w:ascii="Arial" w:cs="Arial" w:eastAsia="Arial" w:hAnsi="Arial"/>
          <w:sz w:val="18"/>
          <w:szCs w:val="18"/>
          <w:color w:val="auto"/>
        </w:rPr>
      </w:pPr>
    </w:p>
    <w:p>
      <w:pPr>
        <w:jc w:val="both"/>
        <w:ind w:left="6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xml:space="preserve"> requires that a public enterprise report financial and descriptive information about its reportable operating segments subject to certain aggregation criteria and quantitative thresholds. Operating segments are defined by ASC 280 as components of an enterprise about which separate financial information is available that is evaluated regularly by the chief operating decision-makers in deciding how to allocate resources and in assessing performance.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8" w:right="239" w:bottom="1440" w:gutter="0" w:footer="0" w:header="0"/>
        </w:sectPr>
      </w:pPr>
    </w:p>
    <w:bookmarkStart w:id="62" w:name="page63"/>
    <w:bookmarkEnd w:id="6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6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567,492,812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554,945,912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494,876,354</w:t>
            </w:r>
          </w:p>
        </w:tc>
        <w:tc>
          <w:tcPr>
            <w:tcW w:w="0" w:type="dxa"/>
            <w:vAlign w:val="bottom"/>
          </w:tcPr>
          <w:p>
            <w:pPr>
              <w:spacing w:after="0"/>
              <w:rPr>
                <w:sz w:val="1"/>
                <w:szCs w:val="1"/>
                <w:color w:val="auto"/>
              </w:rPr>
            </w:pPr>
          </w:p>
        </w:tc>
      </w:tr>
      <w:tr>
        <w:trPr>
          <w:trHeight w:val="260"/>
        </w:trPr>
        <w:tc>
          <w:tcPr>
            <w:tcW w:w="4660" w:type="dxa"/>
            <w:vAlign w:val="bottom"/>
          </w:tcPr>
          <w:p>
            <w:pPr>
              <w:ind w:left="700"/>
              <w:spacing w:after="0"/>
              <w:rPr>
                <w:sz w:val="20"/>
                <w:szCs w:val="20"/>
                <w:color w:val="auto"/>
              </w:rPr>
            </w:pPr>
            <w:r>
              <w:rPr>
                <w:rFonts w:ascii="Arial" w:cs="Arial" w:eastAsia="Arial" w:hAnsi="Arial"/>
                <w:sz w:val="16"/>
                <w:szCs w:val="16"/>
                <w:color w:val="auto"/>
              </w:rPr>
              <w:t>Germany</w:t>
            </w: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351,123,204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328,208,190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295,044,988</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Japan</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185,261,067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154,005,299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148,632,237</w:t>
            </w:r>
          </w:p>
        </w:tc>
        <w:tc>
          <w:tcPr>
            <w:tcW w:w="0" w:type="dxa"/>
            <w:vAlign w:val="bottom"/>
          </w:tcPr>
          <w:p>
            <w:pPr>
              <w:spacing w:after="0"/>
              <w:rPr>
                <w:sz w:val="1"/>
                <w:szCs w:val="1"/>
                <w:color w:val="auto"/>
              </w:rPr>
            </w:pPr>
          </w:p>
        </w:tc>
      </w:tr>
      <w:tr>
        <w:trPr>
          <w:trHeight w:val="260"/>
        </w:trPr>
        <w:tc>
          <w:tcPr>
            <w:tcW w:w="4660" w:type="dxa"/>
            <w:vAlign w:val="bottom"/>
          </w:tcPr>
          <w:p>
            <w:pPr>
              <w:ind w:left="700"/>
              <w:spacing w:after="0"/>
              <w:rPr>
                <w:sz w:val="20"/>
                <w:szCs w:val="20"/>
                <w:color w:val="auto"/>
              </w:rPr>
            </w:pPr>
            <w:r>
              <w:rPr>
                <w:rFonts w:ascii="Arial" w:cs="Arial" w:eastAsia="Arial" w:hAnsi="Arial"/>
                <w:sz w:val="16"/>
                <w:szCs w:val="16"/>
                <w:color w:val="auto"/>
              </w:rPr>
              <w:t>Other Countries</w:t>
            </w: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654,250,385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602,532,841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568,318,425</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36,745,110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39,232,514</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36,745,702</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1,794,872,578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1,678,924,756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1,543,617,706</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6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4660" w:type="dxa"/>
            <w:vAlign w:val="bottom"/>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512,895,699</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497,753,966</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445,067,511</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10,462,653</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13,988,969</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13,698,928</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523,358,352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511,742,935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458,766,439</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6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4660" w:type="dxa"/>
            <w:vAlign w:val="bottom"/>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1,472,061,650</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1,457,989,335</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1,414,426,679</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9,576,514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9,384,154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9,429,994</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Corporate</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870,415,748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842,246,344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724,816,255</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2,352,053,912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2,309,619,833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2,148,672,928</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Depreciation &amp; Amortization:</w:t>
            </w: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95,378,100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86,567,248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78,925,332</w:t>
            </w:r>
          </w:p>
        </w:tc>
        <w:tc>
          <w:tcPr>
            <w:tcW w:w="0" w:type="dxa"/>
            <w:vAlign w:val="bottom"/>
          </w:tcPr>
          <w:p>
            <w:pPr>
              <w:spacing w:after="0"/>
              <w:rPr>
                <w:sz w:val="1"/>
                <w:szCs w:val="1"/>
                <w:color w:val="auto"/>
              </w:rPr>
            </w:pPr>
          </w:p>
        </w:tc>
      </w:tr>
      <w:tr>
        <w:trPr>
          <w:trHeight w:val="260"/>
        </w:trPr>
        <w:tc>
          <w:tcPr>
            <w:tcW w:w="4660" w:type="dxa"/>
            <w:vAlign w:val="bottom"/>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300,935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290,296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306,908</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Corporate</w:t>
            </w: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3,891,873</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1,729,886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1,366,927</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99,570,908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88,587,430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80,599,167</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6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4660" w:type="dxa"/>
            <w:vAlign w:val="bottom"/>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82,703,576</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99,811,083</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97,632,519</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170,357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200,262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161,247</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Corporate</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21,166,986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20,944,269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147,996</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104,040,919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120,955,614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97,941,762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includes Dimmable Aircraft Windows and Fire Protection Products. Major product line revenues included within these segments are as follows:</w:t>
      </w:r>
    </w:p>
    <w:p>
      <w:pPr>
        <w:spacing w:after="0" w:line="319"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46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2015</w:t>
            </w:r>
          </w:p>
        </w:tc>
      </w:tr>
      <w:tr>
        <w:trPr>
          <w:trHeight w:val="210"/>
        </w:trPr>
        <w:tc>
          <w:tcPr>
            <w:tcW w:w="4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Automotive Products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60"/>
        </w:trPr>
        <w:tc>
          <w:tcPr>
            <w:tcW w:w="46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60"/>
        </w:trPr>
        <w:tc>
          <w:tcPr>
            <w:tcW w:w="4640" w:type="dxa"/>
            <w:vAlign w:val="bottom"/>
          </w:tcPr>
          <w:p>
            <w:pPr>
              <w:ind w:left="380"/>
              <w:spacing w:after="0"/>
              <w:rPr>
                <w:sz w:val="20"/>
                <w:szCs w:val="20"/>
                <w:color w:val="auto"/>
              </w:rPr>
            </w:pPr>
            <w:r>
              <w:rPr>
                <w:rFonts w:ascii="Arial" w:cs="Arial" w:eastAsia="Arial" w:hAnsi="Arial"/>
                <w:sz w:val="16"/>
                <w:szCs w:val="16"/>
                <w:color w:val="auto"/>
              </w:rPr>
              <w:t>Automotive Mirrors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1,573,222,820</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1,456,963,758</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1,332,791,398</w:t>
            </w:r>
          </w:p>
        </w:tc>
      </w:tr>
      <w:tr>
        <w:trPr>
          <w:trHeight w:val="280"/>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HomeLink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Modules*</w:t>
            </w: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184,904,648</w:t>
            </w: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182,728,485</w:t>
            </w: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174,080,606</w:t>
            </w:r>
          </w:p>
        </w:tc>
      </w:tr>
      <w:tr>
        <w:trPr>
          <w:trHeight w:val="217"/>
        </w:trPr>
        <w:tc>
          <w:tcPr>
            <w:tcW w:w="4640" w:type="dxa"/>
            <w:vAlign w:val="bottom"/>
          </w:tcPr>
          <w:p>
            <w:pPr>
              <w:ind w:left="160"/>
              <w:spacing w:after="0"/>
              <w:rPr>
                <w:sz w:val="20"/>
                <w:szCs w:val="20"/>
                <w:color w:val="auto"/>
              </w:rPr>
            </w:pPr>
            <w:r>
              <w:rPr>
                <w:rFonts w:ascii="Arial" w:cs="Arial" w:eastAsia="Arial" w:hAnsi="Arial"/>
                <w:sz w:val="16"/>
                <w:szCs w:val="16"/>
                <w:color w:val="auto"/>
              </w:rPr>
              <w:t>Total Automotive Products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1,758,127,468</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1,639,692,243</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1,506,872,004</w:t>
            </w:r>
          </w:p>
        </w:tc>
      </w:tr>
      <w:tr>
        <w:trPr>
          <w:trHeight w:val="47"/>
        </w:trPr>
        <w:tc>
          <w:tcPr>
            <w:tcW w:w="4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24"/>
        </w:trPr>
        <w:tc>
          <w:tcPr>
            <w:tcW w:w="46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24"/>
        </w:trPr>
        <w:tc>
          <w:tcPr>
            <w:tcW w:w="4640" w:type="dxa"/>
            <w:vAlign w:val="bottom"/>
          </w:tcPr>
          <w:p>
            <w:pPr>
              <w:ind w:left="160"/>
              <w:spacing w:after="0"/>
              <w:rPr>
                <w:sz w:val="20"/>
                <w:szCs w:val="20"/>
                <w:color w:val="auto"/>
              </w:rPr>
            </w:pPr>
            <w:r>
              <w:rPr>
                <w:rFonts w:ascii="Arial" w:cs="Arial" w:eastAsia="Arial" w:hAnsi="Arial"/>
                <w:sz w:val="16"/>
                <w:szCs w:val="16"/>
                <w:color w:val="auto"/>
              </w:rPr>
              <w:t>Other Products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36,745,110</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39,232,513</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36,745,702</w:t>
            </w:r>
          </w:p>
        </w:tc>
      </w:tr>
      <w:tr>
        <w:trPr>
          <w:trHeight w:val="47"/>
        </w:trPr>
        <w:tc>
          <w:tcPr>
            <w:tcW w:w="4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24"/>
        </w:trPr>
        <w:tc>
          <w:tcPr>
            <w:tcW w:w="464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1,794,872,578</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1,678,924,756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1,543,617,706</w:t>
            </w:r>
          </w:p>
        </w:tc>
      </w:tr>
      <w:tr>
        <w:trPr>
          <w:trHeight w:val="20"/>
        </w:trPr>
        <w:tc>
          <w:tcPr>
            <w:tcW w:w="4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*Excludes HomeLink</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revenue integrated into automotive mirrors.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Corporate assets are principally cash and cash equivalents, investments, deferred income taxes and corporate fixed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long-lived assets are located in the U.S.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Automotive Products revenues in the “Other” category are sales to customer automotive manufacturing plants in Korea, Mexico, Canada, Hungary, China, and the United Kingdom as well as other foreign automotive customers. Most of the Company’s non-U.S. sales are invoiced and paid in U.S. dollars. During the years</w:t>
      </w:r>
    </w:p>
    <w:p>
      <w:pPr>
        <w:sectPr>
          <w:pgSz w:w="11900" w:h="16838" w:orient="portrait"/>
          <w:cols w:equalWidth="0" w:num="1">
            <w:col w:w="10760"/>
          </w:cols>
          <w:pgMar w:left="900" w:top="118" w:right="239" w:bottom="1440" w:gutter="0" w:footer="0" w:header="0"/>
        </w:sectPr>
      </w:pP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760"/>
          </w:cols>
          <w:pgMar w:left="900" w:top="118" w:right="239"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ended December 31, 2017, 2016 and 2015, approximately 8%, 7% and 6% of the Company’s net sales were invoiced and paid in foreign currencies respectively.</w:t>
      </w:r>
    </w:p>
    <w:p>
      <w:pPr>
        <w:spacing w:after="0" w:line="115"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In 2017, the Company had four automotive customers (including direct sales to OEM customers and sales through their Tier 1 suppliers), which individually accounted for 10% or more of net sales as follows:</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198"/>
        </w:trPr>
        <w:tc>
          <w:tcPr>
            <w:tcW w:w="2080" w:type="dxa"/>
            <w:vAlign w:val="bottom"/>
            <w:shd w:val="clear" w:color="auto" w:fill="CCEEFF"/>
          </w:tcPr>
          <w:p>
            <w:pPr>
              <w:spacing w:after="0"/>
              <w:rPr>
                <w:sz w:val="17"/>
                <w:szCs w:val="17"/>
                <w:color w:val="auto"/>
              </w:rPr>
            </w:pPr>
          </w:p>
        </w:tc>
        <w:tc>
          <w:tcPr>
            <w:tcW w:w="3020" w:type="dxa"/>
            <w:vAlign w:val="bottom"/>
            <w:shd w:val="clear" w:color="auto" w:fill="CCEEFF"/>
          </w:tcPr>
          <w:p>
            <w:pPr>
              <w:jc w:val="right"/>
              <w:ind w:right="254"/>
              <w:spacing w:after="0"/>
              <w:rPr>
                <w:sz w:val="20"/>
                <w:szCs w:val="20"/>
                <w:color w:val="auto"/>
              </w:rPr>
            </w:pPr>
            <w:r>
              <w:rPr>
                <w:rFonts w:ascii="Arial" w:cs="Arial" w:eastAsia="Arial" w:hAnsi="Arial"/>
                <w:sz w:val="16"/>
                <w:szCs w:val="16"/>
                <w:b w:val="1"/>
                <w:bCs w:val="1"/>
                <w:color w:val="auto"/>
              </w:rPr>
              <w:t>Toyota Motor</w:t>
            </w:r>
          </w:p>
        </w:tc>
        <w:tc>
          <w:tcPr>
            <w:tcW w:w="18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74"/>
              <w:spacing w:after="0"/>
              <w:rPr>
                <w:sz w:val="20"/>
                <w:szCs w:val="20"/>
                <w:color w:val="auto"/>
              </w:rPr>
            </w:pPr>
            <w:r>
              <w:rPr>
                <w:rFonts w:ascii="Arial" w:cs="Arial" w:eastAsia="Arial" w:hAnsi="Arial"/>
                <w:sz w:val="16"/>
                <w:szCs w:val="16"/>
                <w:b w:val="1"/>
                <w:bCs w:val="1"/>
                <w:color w:val="auto"/>
              </w:rPr>
              <w:t>Ford Motor</w:t>
            </w:r>
          </w:p>
        </w:tc>
        <w:tc>
          <w:tcPr>
            <w:tcW w:w="1440" w:type="dxa"/>
            <w:vAlign w:val="bottom"/>
            <w:shd w:val="clear" w:color="auto" w:fill="CCEEFF"/>
          </w:tcPr>
          <w:p>
            <w:pPr>
              <w:spacing w:after="0"/>
              <w:rPr>
                <w:sz w:val="17"/>
                <w:szCs w:val="17"/>
                <w:color w:val="auto"/>
              </w:rPr>
            </w:pPr>
          </w:p>
        </w:tc>
      </w:tr>
      <w:tr>
        <w:trPr>
          <w:trHeight w:val="234"/>
        </w:trPr>
        <w:tc>
          <w:tcPr>
            <w:tcW w:w="2080" w:type="dxa"/>
            <w:vAlign w:val="bottom"/>
            <w:shd w:val="clear" w:color="auto" w:fill="CCEEFF"/>
          </w:tcPr>
          <w:p>
            <w:pPr>
              <w:spacing w:after="0"/>
              <w:rPr>
                <w:sz w:val="20"/>
                <w:szCs w:val="20"/>
                <w:color w:val="auto"/>
              </w:rPr>
            </w:pPr>
          </w:p>
        </w:tc>
        <w:tc>
          <w:tcPr>
            <w:tcW w:w="3020" w:type="dxa"/>
            <w:vAlign w:val="bottom"/>
            <w:shd w:val="clear" w:color="auto" w:fill="CCEEFF"/>
          </w:tcPr>
          <w:p>
            <w:pPr>
              <w:jc w:val="right"/>
              <w:ind w:right="294"/>
              <w:spacing w:after="0"/>
              <w:rPr>
                <w:sz w:val="20"/>
                <w:szCs w:val="20"/>
                <w:color w:val="auto"/>
              </w:rPr>
            </w:pPr>
            <w:r>
              <w:rPr>
                <w:rFonts w:ascii="Arial" w:cs="Arial" w:eastAsia="Arial" w:hAnsi="Arial"/>
                <w:sz w:val="16"/>
                <w:szCs w:val="16"/>
                <w:b w:val="1"/>
                <w:bCs w:val="1"/>
                <w:color w:val="auto"/>
              </w:rPr>
              <w:t>Corporation</w:t>
            </w:r>
          </w:p>
        </w:tc>
        <w:tc>
          <w:tcPr>
            <w:tcW w:w="1800" w:type="dxa"/>
            <w:vAlign w:val="bottom"/>
            <w:shd w:val="clear" w:color="auto" w:fill="CCEEFF"/>
          </w:tcPr>
          <w:p>
            <w:pPr>
              <w:jc w:val="right"/>
              <w:ind w:right="172"/>
              <w:spacing w:after="0"/>
              <w:rPr>
                <w:sz w:val="20"/>
                <w:szCs w:val="20"/>
                <w:color w:val="auto"/>
              </w:rPr>
            </w:pPr>
            <w:r>
              <w:rPr>
                <w:rFonts w:ascii="Arial" w:cs="Arial" w:eastAsia="Arial" w:hAnsi="Arial"/>
                <w:sz w:val="16"/>
                <w:szCs w:val="16"/>
                <w:b w:val="1"/>
                <w:bCs w:val="1"/>
                <w:color w:val="auto"/>
              </w:rPr>
              <w:t>Volkswagen Group</w:t>
            </w:r>
          </w:p>
        </w:tc>
        <w:tc>
          <w:tcPr>
            <w:tcW w:w="1660" w:type="dxa"/>
            <w:vAlign w:val="bottom"/>
            <w:shd w:val="clear" w:color="auto" w:fill="CCEEFF"/>
          </w:tcPr>
          <w:p>
            <w:pPr>
              <w:jc w:val="right"/>
              <w:ind w:right="534"/>
              <w:spacing w:after="0"/>
              <w:rPr>
                <w:sz w:val="20"/>
                <w:szCs w:val="20"/>
                <w:color w:val="auto"/>
              </w:rPr>
            </w:pPr>
            <w:r>
              <w:rPr>
                <w:rFonts w:ascii="Arial" w:cs="Arial" w:eastAsia="Arial" w:hAnsi="Arial"/>
                <w:sz w:val="16"/>
                <w:szCs w:val="16"/>
                <w:b w:val="1"/>
                <w:bCs w:val="1"/>
                <w:color w:val="auto"/>
              </w:rPr>
              <w:t>Company</w:t>
            </w:r>
          </w:p>
        </w:tc>
        <w:tc>
          <w:tcPr>
            <w:tcW w:w="1440" w:type="dxa"/>
            <w:vAlign w:val="bottom"/>
            <w:shd w:val="clear" w:color="auto" w:fill="CCEEFF"/>
          </w:tcPr>
          <w:p>
            <w:pPr>
              <w:jc w:val="right"/>
              <w:ind w:right="232"/>
              <w:spacing w:after="0"/>
              <w:rPr>
                <w:sz w:val="20"/>
                <w:szCs w:val="20"/>
                <w:color w:val="auto"/>
              </w:rPr>
            </w:pPr>
            <w:r>
              <w:rPr>
                <w:rFonts w:ascii="Arial" w:cs="Arial" w:eastAsia="Arial" w:hAnsi="Arial"/>
                <w:sz w:val="16"/>
                <w:szCs w:val="16"/>
                <w:b w:val="1"/>
                <w:bCs w:val="1"/>
                <w:color w:val="auto"/>
              </w:rPr>
              <w:t>Daimler AG</w:t>
            </w:r>
          </w:p>
        </w:tc>
      </w:tr>
      <w:tr>
        <w:trPr>
          <w:trHeight w:val="263"/>
        </w:trPr>
        <w:tc>
          <w:tcPr>
            <w:tcW w:w="2080" w:type="dxa"/>
            <w:vAlign w:val="bottom"/>
          </w:tcPr>
          <w:p>
            <w:pPr>
              <w:jc w:val="right"/>
              <w:ind w:right="1570"/>
              <w:spacing w:after="0"/>
              <w:rPr>
                <w:sz w:val="20"/>
                <w:szCs w:val="20"/>
                <w:color w:val="auto"/>
              </w:rPr>
            </w:pPr>
            <w:r>
              <w:rPr>
                <w:rFonts w:ascii="Arial" w:cs="Arial" w:eastAsia="Arial" w:hAnsi="Arial"/>
                <w:sz w:val="18"/>
                <w:szCs w:val="18"/>
                <w:color w:val="auto"/>
                <w:w w:val="99"/>
              </w:rPr>
              <w:t>2017</w:t>
            </w:r>
          </w:p>
        </w:tc>
        <w:tc>
          <w:tcPr>
            <w:tcW w:w="302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80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10%</w:t>
            </w: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7"/>
        </w:trPr>
        <w:tc>
          <w:tcPr>
            <w:tcW w:w="208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w w:val="99"/>
              </w:rPr>
              <w:t>2016</w:t>
            </w:r>
          </w:p>
        </w:tc>
        <w:tc>
          <w:tcPr>
            <w:tcW w:w="3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w:t>
            </w:r>
          </w:p>
        </w:tc>
        <w:tc>
          <w:tcPr>
            <w:tcW w:w="1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w:t>
            </w: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57"/>
        </w:trPr>
        <w:tc>
          <w:tcPr>
            <w:tcW w:w="2080" w:type="dxa"/>
            <w:vAlign w:val="bottom"/>
          </w:tcPr>
          <w:p>
            <w:pPr>
              <w:jc w:val="right"/>
              <w:ind w:right="1570"/>
              <w:spacing w:after="0"/>
              <w:rPr>
                <w:sz w:val="20"/>
                <w:szCs w:val="20"/>
                <w:color w:val="auto"/>
              </w:rPr>
            </w:pPr>
            <w:r>
              <w:rPr>
                <w:rFonts w:ascii="Arial" w:cs="Arial" w:eastAsia="Arial" w:hAnsi="Arial"/>
                <w:sz w:val="18"/>
                <w:szCs w:val="18"/>
                <w:color w:val="auto"/>
                <w:w w:val="99"/>
              </w:rPr>
              <w:t>2015</w:t>
            </w:r>
          </w:p>
        </w:tc>
        <w:tc>
          <w:tcPr>
            <w:tcW w:w="302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80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11%</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 - Less than 10 percent.</w:t>
      </w:r>
    </w:p>
    <w:p>
      <w:pPr>
        <w:spacing w:after="0" w:line="23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QUARTERLY FINANCIAL INFORMATION (UNAUDITED)</w:t>
      </w:r>
    </w:p>
    <w:p>
      <w:pPr>
        <w:spacing w:after="0" w:line="225"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The following table sets forth selected financial information for all of the quarters during the years ended December 31, 2017 and 2016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210820</wp:posOffset>
            </wp:positionV>
            <wp:extent cx="5419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394" w:lineRule="exact"/>
        <w:rPr>
          <w:sz w:val="20"/>
          <w:szCs w:val="20"/>
          <w:color w:val="auto"/>
        </w:rPr>
      </w:pPr>
    </w:p>
    <w:tbl>
      <w:tblPr>
        <w:tblLayout w:type="fixed"/>
        <w:tblInd w:w="1780" w:type="dxa"/>
        <w:tblCellMar>
          <w:top w:w="0" w:type="dxa"/>
          <w:left w:w="0" w:type="dxa"/>
          <w:bottom w:w="0" w:type="dxa"/>
          <w:right w:w="0" w:type="dxa"/>
        </w:tblCellMar>
      </w:tblPr>
      <w:tr>
        <w:trPr>
          <w:trHeight w:val="196"/>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First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5"/>
          </w:tcPr>
          <w:p>
            <w:pPr>
              <w:ind w:left="400"/>
              <w:spacing w:after="0"/>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453,535</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405,568</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443,139</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423,801</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438,628</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429,643</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459,570</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419,913</w:t>
            </w:r>
          </w:p>
        </w:tc>
        <w:tc>
          <w:tcPr>
            <w:tcW w:w="0" w:type="dxa"/>
            <w:vAlign w:val="bottom"/>
          </w:tcPr>
          <w:p>
            <w:pPr>
              <w:spacing w:after="0"/>
              <w:rPr>
                <w:sz w:val="1"/>
                <w:szCs w:val="1"/>
                <w:color w:val="auto"/>
              </w:rPr>
            </w:pPr>
          </w:p>
        </w:tc>
      </w:tr>
      <w:tr>
        <w:trPr>
          <w:trHeight w:val="66"/>
        </w:trPr>
        <w:tc>
          <w:tcPr>
            <w:tcW w:w="178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78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175,801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158,691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167,208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166,773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171,230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173,822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180,290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169,167</w:t>
            </w:r>
          </w:p>
        </w:tc>
        <w:tc>
          <w:tcPr>
            <w:tcW w:w="0" w:type="dxa"/>
            <w:vAlign w:val="bottom"/>
          </w:tcPr>
          <w:p>
            <w:pPr>
              <w:spacing w:after="0"/>
              <w:rPr>
                <w:sz w:val="1"/>
                <w:szCs w:val="1"/>
                <w:color w:val="auto"/>
              </w:rPr>
            </w:pPr>
          </w:p>
        </w:tc>
      </w:tr>
      <w:tr>
        <w:trPr>
          <w:trHeight w:val="60"/>
        </w:trPr>
        <w:tc>
          <w:tcPr>
            <w:tcW w:w="1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134,427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120,849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125,865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128,746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129,073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134,212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133,994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127,936</w:t>
            </w:r>
          </w:p>
        </w:tc>
        <w:tc>
          <w:tcPr>
            <w:tcW w:w="0" w:type="dxa"/>
            <w:vAlign w:val="bottom"/>
          </w:tcPr>
          <w:p>
            <w:pPr>
              <w:spacing w:after="0"/>
              <w:rPr>
                <w:sz w:val="1"/>
                <w:szCs w:val="1"/>
                <w:color w:val="auto"/>
              </w:rPr>
            </w:pPr>
          </w:p>
        </w:tc>
      </w:tr>
      <w:tr>
        <w:trPr>
          <w:trHeight w:val="66"/>
        </w:trPr>
        <w:tc>
          <w:tcPr>
            <w:tcW w:w="17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7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97,557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80,280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88,536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86,485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90,230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92,065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130,469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88,761</w:t>
            </w:r>
          </w:p>
        </w:tc>
        <w:tc>
          <w:tcPr>
            <w:tcW w:w="0" w:type="dxa"/>
            <w:vAlign w:val="bottom"/>
          </w:tcPr>
          <w:p>
            <w:pPr>
              <w:spacing w:after="0"/>
              <w:rPr>
                <w:sz w:val="1"/>
                <w:szCs w:val="1"/>
                <w:color w:val="auto"/>
              </w:rPr>
            </w:pPr>
          </w:p>
        </w:tc>
      </w:tr>
      <w:tr>
        <w:trPr>
          <w:trHeight w:val="60"/>
        </w:trPr>
        <w:tc>
          <w:tcPr>
            <w:tcW w:w="1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Per Share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94"/>
        </w:trPr>
        <w:tc>
          <w:tcPr>
            <w:tcW w:w="1780" w:type="dxa"/>
            <w:vAlign w:val="bottom"/>
          </w:tcPr>
          <w:p>
            <w:pPr>
              <w:ind w:left="20"/>
              <w:spacing w:after="0"/>
              <w:rPr>
                <w:sz w:val="20"/>
                <w:szCs w:val="20"/>
                <w:color w:val="auto"/>
              </w:rPr>
            </w:pPr>
            <w:r>
              <w:rPr>
                <w:rFonts w:ascii="Arial" w:cs="Arial" w:eastAsia="Arial" w:hAnsi="Arial"/>
                <w:sz w:val="14"/>
                <w:szCs w:val="14"/>
                <w:color w:val="auto"/>
              </w:rPr>
              <w:t>Earnings Per Share</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780" w:type="dxa"/>
            <w:vAlign w:val="bottom"/>
          </w:tcPr>
          <w:p>
            <w:pPr>
              <w:ind w:left="20"/>
              <w:spacing w:after="0"/>
              <w:rPr>
                <w:sz w:val="20"/>
                <w:szCs w:val="20"/>
                <w:color w:val="auto"/>
              </w:rPr>
            </w:pPr>
            <w:r>
              <w:rPr>
                <w:rFonts w:ascii="Arial" w:cs="Arial" w:eastAsia="Arial" w:hAnsi="Arial"/>
                <w:sz w:val="14"/>
                <w:szCs w:val="14"/>
                <w:color w:val="auto"/>
              </w:rPr>
              <w:t>(Diluted)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0.46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2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foreign currency translation adjustments, and unrealized movement in derivative financial instruments designated as hedges.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64" w:name="page65"/>
    <w:bookmarkEnd w:id="64"/>
    <w:p>
      <w:pPr>
        <w:jc w:val="center"/>
        <w:ind w:right="38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For the Twelve Months ended December 31,</w:t>
            </w:r>
          </w:p>
        </w:tc>
      </w:tr>
      <w:tr>
        <w:trPr>
          <w:trHeight w:val="276"/>
        </w:trPr>
        <w:tc>
          <w:tcPr>
            <w:tcW w:w="48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0"/>
        </w:trPr>
        <w:tc>
          <w:tcPr>
            <w:tcW w:w="4840" w:type="dxa"/>
            <w:vAlign w:val="bottom"/>
          </w:tcPr>
          <w:p>
            <w:pPr>
              <w:ind w:left="260"/>
              <w:spacing w:after="0"/>
              <w:rPr>
                <w:sz w:val="20"/>
                <w:szCs w:val="20"/>
                <w:color w:val="auto"/>
              </w:rPr>
            </w:pPr>
            <w:r>
              <w:rPr>
                <w:rFonts w:ascii="Arial" w:cs="Arial" w:eastAsia="Arial" w:hAnsi="Arial"/>
                <w:sz w:val="16"/>
                <w:szCs w:val="16"/>
                <w:color w:val="auto"/>
              </w:rPr>
              <w:t>Balance at beginning of period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(2,862,999)</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(44,909)</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1,403,899</w:t>
            </w:r>
          </w:p>
        </w:tc>
      </w:tr>
      <w:tr>
        <w:trPr>
          <w:trHeight w:val="273"/>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loss before reclassifications</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3,508,029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(2,818,090)</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(1,448,808)</w:t>
            </w:r>
          </w:p>
        </w:tc>
      </w:tr>
      <w:tr>
        <w:trPr>
          <w:trHeight w:val="250"/>
        </w:trPr>
        <w:tc>
          <w:tcPr>
            <w:tcW w:w="48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current-period change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3,508,029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(2,818,090)</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(1,448,808)</w:t>
            </w:r>
          </w:p>
        </w:tc>
      </w:tr>
      <w:tr>
        <w:trPr>
          <w:trHeight w:val="257"/>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645,030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(2,862,999)</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(44,909)</w:t>
            </w:r>
          </w:p>
        </w:tc>
      </w:tr>
      <w:tr>
        <w:trPr>
          <w:trHeight w:val="254"/>
        </w:trPr>
        <w:tc>
          <w:tcPr>
            <w:tcW w:w="4840" w:type="dxa"/>
            <w:vAlign w:val="bottom"/>
          </w:tcPr>
          <w:p>
            <w:pPr>
              <w:ind w:left="20"/>
              <w:spacing w:after="0"/>
              <w:rPr>
                <w:sz w:val="20"/>
                <w:szCs w:val="20"/>
                <w:color w:val="auto"/>
              </w:rPr>
            </w:pPr>
            <w:r>
              <w:rPr>
                <w:rFonts w:ascii="Arial" w:cs="Arial" w:eastAsia="Arial" w:hAnsi="Arial"/>
                <w:sz w:val="16"/>
                <w:szCs w:val="16"/>
                <w:color w:val="auto"/>
              </w:rPr>
              <w:t>Unrealized gains (losses) on available-for-sale securities: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Balance at beginning of period</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2,788,975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829,907</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10,868,322</w:t>
            </w:r>
          </w:p>
        </w:tc>
      </w:tr>
      <w:tr>
        <w:trPr>
          <w:trHeight w:val="260"/>
        </w:trPr>
        <w:tc>
          <w:tcPr>
            <w:tcW w:w="4840" w:type="dxa"/>
            <w:vAlign w:val="bottom"/>
          </w:tcPr>
          <w:p>
            <w:pPr>
              <w:ind w:left="260"/>
              <w:spacing w:after="0"/>
              <w:rPr>
                <w:sz w:val="20"/>
                <w:szCs w:val="20"/>
                <w:color w:val="auto"/>
              </w:rPr>
            </w:pPr>
            <w:r>
              <w:rPr>
                <w:rFonts w:ascii="Arial" w:cs="Arial" w:eastAsia="Arial" w:hAnsi="Arial"/>
                <w:sz w:val="16"/>
                <w:szCs w:val="16"/>
                <w:color w:val="auto"/>
              </w:rPr>
              <w:t>Other comprehensive income (loss) before reclassifications</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4,444,360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2,167,196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(5,513,842)</w:t>
            </w:r>
          </w:p>
        </w:tc>
      </w:tr>
      <w:tr>
        <w:trPr>
          <w:trHeight w:val="228"/>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Amounts reclassified from accumulated other comprehensive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8"/>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(606,956)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(208,128)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(4,524,573)</w:t>
            </w:r>
          </w:p>
        </w:tc>
      </w:tr>
      <w:tr>
        <w:trPr>
          <w:trHeight w:val="250"/>
        </w:trPr>
        <w:tc>
          <w:tcPr>
            <w:tcW w:w="48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current-period change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3,837,404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1,959,068</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(10,038,415)</w:t>
            </w:r>
          </w:p>
        </w:tc>
      </w:tr>
      <w:tr>
        <w:trPr>
          <w:trHeight w:val="257"/>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6,626,379</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2,788,975</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829,907</w:t>
            </w:r>
          </w:p>
        </w:tc>
      </w:tr>
      <w:tr>
        <w:trPr>
          <w:trHeight w:val="254"/>
        </w:trPr>
        <w:tc>
          <w:tcPr>
            <w:tcW w:w="4840" w:type="dxa"/>
            <w:vAlign w:val="bottom"/>
          </w:tcPr>
          <w:p>
            <w:pPr>
              <w:ind w:left="20"/>
              <w:spacing w:after="0"/>
              <w:rPr>
                <w:sz w:val="20"/>
                <w:szCs w:val="20"/>
                <w:color w:val="auto"/>
              </w:rPr>
            </w:pPr>
            <w:r>
              <w:rPr>
                <w:rFonts w:ascii="Arial" w:cs="Arial" w:eastAsia="Arial" w:hAnsi="Arial"/>
                <w:sz w:val="16"/>
                <w:szCs w:val="16"/>
                <w:color w:val="auto"/>
              </w:rPr>
              <w:t>Unrealized gains (losses) on derivatives: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Balance at beginning of period</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(1,197,281)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(1,915,834)</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(959,206)</w:t>
            </w:r>
          </w:p>
        </w:tc>
      </w:tr>
      <w:tr>
        <w:trPr>
          <w:trHeight w:val="260"/>
        </w:trPr>
        <w:tc>
          <w:tcPr>
            <w:tcW w:w="4840" w:type="dxa"/>
            <w:vAlign w:val="bottom"/>
          </w:tcPr>
          <w:p>
            <w:pPr>
              <w:ind w:left="260"/>
              <w:spacing w:after="0"/>
              <w:rPr>
                <w:sz w:val="20"/>
                <w:szCs w:val="20"/>
                <w:color w:val="auto"/>
              </w:rPr>
            </w:pPr>
            <w:r>
              <w:rPr>
                <w:rFonts w:ascii="Arial" w:cs="Arial" w:eastAsia="Arial" w:hAnsi="Arial"/>
                <w:sz w:val="16"/>
                <w:szCs w:val="16"/>
                <w:color w:val="auto"/>
              </w:rPr>
              <w:t>Other comprehensive income (loss) before reclassifications</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248,042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(672,419)</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(1,659,115)</w:t>
            </w:r>
          </w:p>
        </w:tc>
      </w:tr>
      <w:tr>
        <w:trPr>
          <w:trHeight w:val="228"/>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Amounts reclassified from accumulated other comprehensive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8"/>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871,213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1,390,972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702,487</w:t>
            </w:r>
          </w:p>
        </w:tc>
      </w:tr>
      <w:tr>
        <w:trPr>
          <w:trHeight w:val="250"/>
        </w:trPr>
        <w:tc>
          <w:tcPr>
            <w:tcW w:w="48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current-period change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1,119,255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718,553</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(956,628)</w:t>
            </w:r>
          </w:p>
        </w:tc>
      </w:tr>
      <w:tr>
        <w:trPr>
          <w:trHeight w:val="237"/>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(78,026)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(1,197,281)</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(1,915,834)</w:t>
            </w:r>
          </w:p>
        </w:tc>
      </w:tr>
      <w:tr>
        <w:trPr>
          <w:trHeight w:val="189"/>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 (loss),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7,193,383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(1,271,305)</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8890</wp:posOffset>
            </wp:positionV>
            <wp:extent cx="23755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All amounts are shown net of tax. Amounts in parentheses indicate debits.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presents details of reclassifications out of other comprehensive income for the twelve months ended December 31, 2017, 2016 and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jc w:val="center"/>
              <w:ind w:left="42"/>
              <w:spacing w:after="0"/>
              <w:rPr>
                <w:sz w:val="20"/>
                <w:szCs w:val="20"/>
                <w:color w:val="auto"/>
              </w:rPr>
            </w:pPr>
            <w:r>
              <w:rPr>
                <w:rFonts w:ascii="Arial" w:cs="Arial" w:eastAsia="Arial" w:hAnsi="Arial"/>
                <w:sz w:val="14"/>
                <w:szCs w:val="14"/>
                <w:b w:val="1"/>
                <w:bCs w:val="1"/>
                <w:color w:val="auto"/>
              </w:rPr>
              <w:t>Affected Line item in the</w:t>
            </w:r>
          </w:p>
        </w:tc>
      </w:tr>
      <w:tr>
        <w:trPr>
          <w:trHeight w:val="162"/>
        </w:trPr>
        <w:tc>
          <w:tcPr>
            <w:tcW w:w="2920" w:type="dxa"/>
            <w:vAlign w:val="bottom"/>
            <w:gridSpan w:val="2"/>
          </w:tcPr>
          <w:p>
            <w:pPr>
              <w:ind w:left="20"/>
              <w:spacing w:after="0"/>
              <w:rPr>
                <w:sz w:val="20"/>
                <w:szCs w:val="20"/>
                <w:color w:val="auto"/>
              </w:rPr>
            </w:pPr>
            <w:r>
              <w:rPr>
                <w:rFonts w:ascii="Arial" w:cs="Arial" w:eastAsia="Arial" w:hAnsi="Arial"/>
                <w:sz w:val="14"/>
                <w:szCs w:val="14"/>
                <w:b w:val="1"/>
                <w:bCs w:val="1"/>
                <w:color w:val="auto"/>
              </w:rPr>
              <w:t>Details about Accumulated Other</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jc w:val="center"/>
              <w:ind w:left="42"/>
              <w:spacing w:after="0"/>
              <w:rPr>
                <w:sz w:val="20"/>
                <w:szCs w:val="20"/>
                <w:color w:val="auto"/>
              </w:rPr>
            </w:pPr>
            <w:r>
              <w:rPr>
                <w:rFonts w:ascii="Arial" w:cs="Arial" w:eastAsia="Arial" w:hAnsi="Arial"/>
                <w:sz w:val="14"/>
                <w:szCs w:val="14"/>
                <w:b w:val="1"/>
                <w:bCs w:val="1"/>
                <w:color w:val="auto"/>
              </w:rPr>
              <w:t>Statement of Consolidated</w:t>
            </w:r>
          </w:p>
        </w:tc>
      </w:tr>
      <w:tr>
        <w:trPr>
          <w:trHeight w:val="196"/>
        </w:trPr>
        <w:tc>
          <w:tcPr>
            <w:tcW w:w="29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Comprehensive Income Components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jc w:val="center"/>
              <w:ind w:left="42"/>
              <w:spacing w:after="0"/>
              <w:rPr>
                <w:sz w:val="20"/>
                <w:szCs w:val="20"/>
                <w:color w:val="auto"/>
              </w:rPr>
            </w:pPr>
            <w:r>
              <w:rPr>
                <w:rFonts w:ascii="Arial" w:cs="Arial" w:eastAsia="Arial" w:hAnsi="Arial"/>
                <w:sz w:val="14"/>
                <w:szCs w:val="14"/>
                <w:b w:val="1"/>
                <w:bCs w:val="1"/>
                <w:color w:val="auto"/>
              </w:rPr>
              <w:t>Income</w:t>
            </w:r>
          </w:p>
        </w:tc>
      </w:tr>
      <w:tr>
        <w:trPr>
          <w:trHeight w:val="258"/>
        </w:trPr>
        <w:tc>
          <w:tcPr>
            <w:tcW w:w="2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500" w:type="dxa"/>
            <w:vAlign w:val="bottom"/>
            <w:tcBorders>
              <w:top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For the Twelve Months ended December 31,</w:t>
            </w:r>
          </w:p>
        </w:tc>
        <w:tc>
          <w:tcPr>
            <w:tcW w:w="2200" w:type="dxa"/>
            <w:vAlign w:val="bottom"/>
            <w:tcBorders>
              <w:top w:val="single" w:sz="8" w:color="auto"/>
            </w:tcBorders>
          </w:tcPr>
          <w:p>
            <w:pPr>
              <w:spacing w:after="0"/>
              <w:rPr>
                <w:sz w:val="22"/>
                <w:szCs w:val="22"/>
                <w:color w:val="auto"/>
              </w:rPr>
            </w:pPr>
          </w:p>
        </w:tc>
      </w:tr>
      <w:tr>
        <w:trPr>
          <w:trHeight w:val="276"/>
        </w:trPr>
        <w:tc>
          <w:tcPr>
            <w:tcW w:w="2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2200" w:type="dxa"/>
            <w:vAlign w:val="bottom"/>
            <w:tcBorders>
              <w:bottom w:val="single" w:sz="8" w:color="CCEEFF"/>
            </w:tcBorders>
          </w:tcPr>
          <w:p>
            <w:pPr>
              <w:spacing w:after="0"/>
              <w:rPr>
                <w:sz w:val="24"/>
                <w:szCs w:val="24"/>
                <w:color w:val="auto"/>
              </w:rPr>
            </w:pPr>
          </w:p>
        </w:tc>
      </w:tr>
      <w:tr>
        <w:trPr>
          <w:trHeight w:val="20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gains and (losses) on</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r>
      <w:tr>
        <w:trPr>
          <w:trHeight w:val="21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60"/>
        </w:trPr>
        <w:tc>
          <w:tcPr>
            <w:tcW w:w="2920" w:type="dxa"/>
            <w:vAlign w:val="bottom"/>
            <w:gridSpan w:val="2"/>
          </w:tcPr>
          <w:p>
            <w:pPr>
              <w:ind w:left="260"/>
              <w:spacing w:after="0"/>
              <w:rPr>
                <w:sz w:val="20"/>
                <w:szCs w:val="20"/>
                <w:color w:val="auto"/>
              </w:rPr>
            </w:pPr>
            <w:r>
              <w:rPr>
                <w:rFonts w:ascii="Arial" w:cs="Arial" w:eastAsia="Arial" w:hAnsi="Arial"/>
                <w:sz w:val="16"/>
                <w:szCs w:val="16"/>
                <w:color w:val="auto"/>
              </w:rPr>
              <w:t>Realized gain on sale of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933,778</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320,197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6,960,881</w:t>
            </w:r>
          </w:p>
        </w:tc>
        <w:tc>
          <w:tcPr>
            <w:tcW w:w="2200" w:type="dxa"/>
            <w:vAlign w:val="bottom"/>
          </w:tcPr>
          <w:p>
            <w:pPr>
              <w:ind w:left="140"/>
              <w:spacing w:after="0"/>
              <w:rPr>
                <w:sz w:val="20"/>
                <w:szCs w:val="20"/>
                <w:color w:val="auto"/>
              </w:rPr>
            </w:pPr>
            <w:r>
              <w:rPr>
                <w:rFonts w:ascii="Arial" w:cs="Arial" w:eastAsia="Arial" w:hAnsi="Arial"/>
                <w:sz w:val="16"/>
                <w:szCs w:val="16"/>
                <w:color w:val="auto"/>
              </w:rPr>
              <w:t>Other, net</w:t>
            </w:r>
          </w:p>
        </w:tc>
      </w:tr>
      <w:tr>
        <w:trPr>
          <w:trHeight w:val="273"/>
        </w:trPr>
        <w:tc>
          <w:tcPr>
            <w:tcW w:w="29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(326,822)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(112,069)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(2,436,308)</w:t>
            </w:r>
          </w:p>
        </w:tc>
        <w:tc>
          <w:tcPr>
            <w:tcW w:w="2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r>
      <w:tr>
        <w:trPr>
          <w:trHeight w:val="250"/>
        </w:trPr>
        <w:tc>
          <w:tcPr>
            <w:tcW w:w="2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reclassifications for the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606,956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208,128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4,524,573</w:t>
            </w:r>
          </w:p>
        </w:tc>
        <w:tc>
          <w:tcPr>
            <w:tcW w:w="2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of tax</w:t>
            </w:r>
          </w:p>
        </w:tc>
      </w:tr>
      <w:tr>
        <w:trPr>
          <w:trHeight w:val="189"/>
        </w:trPr>
        <w:tc>
          <w:tcPr>
            <w:tcW w:w="2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r>
      <w:tr>
        <w:trPr>
          <w:trHeight w:val="218"/>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Unrealized gains (losses) on</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4"/>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derivatives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80"/>
        </w:trPr>
        <w:tc>
          <w:tcPr>
            <w:tcW w:w="29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Realized loss on interest rate swap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(1,340,329)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(2,139,958)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(1,080,750)</w:t>
            </w:r>
          </w:p>
        </w:tc>
        <w:tc>
          <w:tcPr>
            <w:tcW w:w="2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r>
      <w:tr>
        <w:trPr>
          <w:trHeight w:val="264"/>
        </w:trPr>
        <w:tc>
          <w:tcPr>
            <w:tcW w:w="292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469,116</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748,986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378,263</w:t>
            </w:r>
          </w:p>
        </w:tc>
        <w:tc>
          <w:tcPr>
            <w:tcW w:w="2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Income Taxes</w:t>
            </w:r>
          </w:p>
        </w:tc>
      </w:tr>
      <w:tr>
        <w:trPr>
          <w:trHeight w:val="264"/>
        </w:trPr>
        <w:tc>
          <w:tcPr>
            <w:tcW w:w="2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(871,213)</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(1,390,972)</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(702,487)</w:t>
            </w:r>
          </w:p>
        </w:tc>
        <w:tc>
          <w:tcPr>
            <w:tcW w:w="2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of tax</w:t>
            </w:r>
          </w:p>
        </w:tc>
      </w:tr>
      <w:tr>
        <w:trPr>
          <w:trHeight w:val="189"/>
        </w:trPr>
        <w:tc>
          <w:tcPr>
            <w:tcW w:w="2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0" w:type="dxa"/>
            <w:vAlign w:val="bottom"/>
            <w:tcBorders>
              <w:bottom w:val="single" w:sz="8" w:color="CCEEFF"/>
            </w:tcBorders>
          </w:tcPr>
          <w:p>
            <w:pPr>
              <w:spacing w:after="0"/>
              <w:rPr>
                <w:sz w:val="16"/>
                <w:szCs w:val="16"/>
                <w:color w:val="auto"/>
              </w:rPr>
            </w:pPr>
          </w:p>
        </w:tc>
      </w:tr>
      <w:tr>
        <w:trPr>
          <w:trHeight w:val="247"/>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reclassifications for the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(1,182,844)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3,822,086</w:t>
            </w:r>
          </w:p>
        </w:tc>
        <w:tc>
          <w:tcPr>
            <w:tcW w:w="2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660" w:top="118"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82"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223" w:lineRule="exact"/>
        <w:rPr>
          <w:sz w:val="20"/>
          <w:szCs w:val="20"/>
          <w:color w:val="auto"/>
        </w:rPr>
      </w:pPr>
    </w:p>
    <w:p>
      <w:pPr>
        <w:jc w:val="both"/>
        <w:ind w:left="660" w:right="20"/>
        <w:spacing w:after="0" w:line="233" w:lineRule="auto"/>
        <w:rPr>
          <w:sz w:val="20"/>
          <w:szCs w:val="20"/>
          <w:color w:val="auto"/>
        </w:rPr>
      </w:pPr>
      <w:r>
        <w:rPr>
          <w:rFonts w:ascii="Arial" w:cs="Arial" w:eastAsia="Arial" w:hAnsi="Arial"/>
          <w:sz w:val="18"/>
          <w:szCs w:val="18"/>
          <w:color w:val="auto"/>
        </w:rPr>
        <w:t>The Company recorded Goodwill of $307.4 million related to the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acquisition, which occurred in September 2013. The carrying value of Goodwill as of December 31, 2017 and December 31, 2016 was $307.4 million as set forth in the table below.</w:t>
      </w:r>
    </w:p>
    <w:p>
      <w:pPr>
        <w:spacing w:after="0" w:line="200" w:lineRule="exact"/>
        <w:rPr>
          <w:sz w:val="20"/>
          <w:szCs w:val="20"/>
          <w:color w:val="auto"/>
        </w:rPr>
      </w:pPr>
    </w:p>
    <w:p>
      <w:pPr>
        <w:spacing w:after="0" w:line="219" w:lineRule="exact"/>
        <w:rPr>
          <w:sz w:val="20"/>
          <w:szCs w:val="20"/>
          <w:color w:val="auto"/>
        </w:rPr>
      </w:pPr>
    </w:p>
    <w:tbl>
      <w:tblPr>
        <w:tblLayout w:type="fixed"/>
        <w:tblInd w:w="1800" w:type="dxa"/>
        <w:tblCellMar>
          <w:top w:w="0" w:type="dxa"/>
          <w:left w:w="0" w:type="dxa"/>
          <w:bottom w:w="0" w:type="dxa"/>
          <w:right w:w="0" w:type="dxa"/>
        </w:tblCellMar>
      </w:tblPr>
      <w:tr>
        <w:trPr>
          <w:trHeight w:val="196"/>
        </w:trPr>
        <w:tc>
          <w:tcPr>
            <w:tcW w:w="7120" w:type="dxa"/>
            <w:vAlign w:val="bottom"/>
          </w:tcPr>
          <w:p>
            <w:pPr>
              <w:spacing w:after="0"/>
              <w:rPr>
                <w:sz w:val="17"/>
                <w:szCs w:val="17"/>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Carrying Amount</w:t>
            </w:r>
          </w:p>
        </w:tc>
      </w:tr>
      <w:tr>
        <w:trPr>
          <w:trHeight w:val="263"/>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307,365,845</w:t>
            </w:r>
          </w:p>
        </w:tc>
      </w:tr>
      <w:tr>
        <w:trPr>
          <w:trHeight w:val="250"/>
        </w:trPr>
        <w:tc>
          <w:tcPr>
            <w:tcW w:w="712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Divestitures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120" w:type="dxa"/>
            <w:vAlign w:val="bottom"/>
          </w:tcPr>
          <w:p>
            <w:pPr>
              <w:ind w:left="40"/>
              <w:spacing w:after="0"/>
              <w:rPr>
                <w:sz w:val="20"/>
                <w:szCs w:val="20"/>
                <w:color w:val="auto"/>
              </w:rPr>
            </w:pPr>
            <w:r>
              <w:rPr>
                <w:rFonts w:ascii="Arial" w:cs="Arial" w:eastAsia="Arial" w:hAnsi="Arial"/>
                <w:sz w:val="18"/>
                <w:szCs w:val="18"/>
                <w:color w:val="auto"/>
              </w:rPr>
              <w:t>Impairments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12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307,365,845</w:t>
            </w:r>
          </w:p>
        </w:tc>
      </w:tr>
      <w:tr>
        <w:trPr>
          <w:trHeight w:val="20"/>
        </w:trPr>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Company reviews goodwill for impairment during the fourth quarter on an annual basis or more frequently if events or changes in circumstances indicate that goodwill might be impaired. The Company has not recognized any impairment of goodwill in the current or prior periods. The Company continuously monitors for events and circumstances that could negatively impact the key assumptions in determining fair value thus resulting in the need for interim testing, including long-term revenue growth projections, profitability, discount rates, recent market valuations from transactions by comparable companies, volatility in the Company's market capitalization, and general industry, market and macro-economic conditions, no such matters were noted in the current period.</w:t>
      </w:r>
    </w:p>
    <w:p>
      <w:pPr>
        <w:spacing w:after="0" w:line="209"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The Intangible Assets and related change in carrying values are set forth in the table below as of December 31, 2017 and December 31, 2016.</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w:t>
      </w:r>
    </w:p>
    <w:p>
      <w:pPr>
        <w:spacing w:after="0" w:line="37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96"/>
        </w:trPr>
        <w:tc>
          <w:tcPr>
            <w:tcW w:w="404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Other Intangible Assets</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Gross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Assumed Useful Life</w:t>
            </w: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Trade Names and Trademarks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52,000,000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r>
      <w:tr>
        <w:trPr>
          <w:trHeight w:val="257"/>
        </w:trPr>
        <w:tc>
          <w:tcPr>
            <w:tcW w:w="4040" w:type="dxa"/>
            <w:vAlign w:val="bottom"/>
          </w:tcPr>
          <w:p>
            <w:pPr>
              <w:ind w:left="2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1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(63,750,000)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8"/>
              <w:spacing w:after="0"/>
              <w:rPr>
                <w:sz w:val="20"/>
                <w:szCs w:val="20"/>
                <w:color w:val="auto"/>
              </w:rPr>
            </w:pPr>
            <w:r>
              <w:rPr>
                <w:rFonts w:ascii="Arial" w:cs="Arial" w:eastAsia="Arial" w:hAnsi="Arial"/>
                <w:sz w:val="18"/>
                <w:szCs w:val="18"/>
                <w:color w:val="auto"/>
              </w:rPr>
              <w:t>116,250,000</w:t>
            </w:r>
          </w:p>
        </w:tc>
        <w:tc>
          <w:tcPr>
            <w:tcW w:w="1500" w:type="dxa"/>
            <w:vAlign w:val="bottom"/>
          </w:tcPr>
          <w:p>
            <w:pPr>
              <w:jc w:val="center"/>
              <w:spacing w:after="0"/>
              <w:rPr>
                <w:sz w:val="20"/>
                <w:szCs w:val="20"/>
                <w:color w:val="auto"/>
              </w:rPr>
            </w:pPr>
            <w:r>
              <w:rPr>
                <w:rFonts w:ascii="Arial" w:cs="Arial" w:eastAsia="Arial" w:hAnsi="Arial"/>
                <w:sz w:val="18"/>
                <w:szCs w:val="18"/>
                <w:color w:val="auto"/>
              </w:rPr>
              <w:t>12 years</w:t>
            </w: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Customer Platforms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24,725,000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 years</w:t>
            </w:r>
          </w:p>
        </w:tc>
      </w:tr>
      <w:tr>
        <w:trPr>
          <w:trHeight w:val="25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Exclusive Licensing Agreement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96,000,000</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96,000,000</w:t>
            </w: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Indefinite</w:t>
            </w:r>
          </w:p>
        </w:tc>
      </w:tr>
      <w:tr>
        <w:trPr>
          <w:trHeight w:val="257"/>
        </w:trPr>
        <w:tc>
          <w:tcPr>
            <w:tcW w:w="4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 identifiable intangible assets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371,000,000</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(82,025,000)</w:t>
            </w:r>
          </w:p>
        </w:tc>
        <w:tc>
          <w:tcPr>
            <w:tcW w:w="1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288,975,000</w:t>
            </w:r>
          </w:p>
        </w:tc>
        <w:tc>
          <w:tcPr>
            <w:tcW w:w="1500" w:type="dxa"/>
            <w:vAlign w:val="bottom"/>
            <w:shd w:val="clear" w:color="auto" w:fill="CCEEFF"/>
          </w:tcPr>
          <w:p>
            <w:pPr>
              <w:spacing w:after="0"/>
              <w:rPr>
                <w:sz w:val="22"/>
                <w:szCs w:val="22"/>
                <w:color w:val="auto"/>
              </w:rPr>
            </w:pPr>
          </w:p>
        </w:tc>
      </w:tr>
      <w:tr>
        <w:trPr>
          <w:trHeight w:val="702"/>
        </w:trPr>
        <w:tc>
          <w:tcPr>
            <w:tcW w:w="4040" w:type="dxa"/>
            <w:vAlign w:val="bottom"/>
          </w:tcPr>
          <w:p>
            <w:pPr>
              <w:spacing w:after="0"/>
              <w:rPr>
                <w:sz w:val="20"/>
                <w:szCs w:val="20"/>
                <w:color w:val="auto"/>
              </w:rPr>
            </w:pPr>
            <w:r>
              <w:rPr>
                <w:rFonts w:ascii="Arial" w:cs="Arial" w:eastAsia="Arial" w:hAnsi="Arial"/>
                <w:sz w:val="18"/>
                <w:szCs w:val="18"/>
                <w:color w:val="auto"/>
              </w:rPr>
              <w:t>As of December 31, 2016: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27"/>
        </w:trPr>
        <w:tc>
          <w:tcPr>
            <w:tcW w:w="4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40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Other Intangible Assets</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Gross</w:t>
            </w: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Net</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Assumed Useful Life</w:t>
            </w: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Trade Names and Trademarks</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  $</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rPr>
              <w:t>Indefinite</w:t>
            </w:r>
          </w:p>
        </w:tc>
      </w:tr>
      <w:tr>
        <w:trPr>
          <w:trHeight w:val="257"/>
        </w:trPr>
        <w:tc>
          <w:tcPr>
            <w:tcW w:w="4040" w:type="dxa"/>
            <w:vAlign w:val="bottom"/>
          </w:tcPr>
          <w:p>
            <w:pPr>
              <w:ind w:left="2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180,000,000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(48,750,000)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131,250,000</w:t>
            </w:r>
          </w:p>
        </w:tc>
        <w:tc>
          <w:tcPr>
            <w:tcW w:w="300" w:type="dxa"/>
            <w:vAlign w:val="bottom"/>
          </w:tcPr>
          <w:p>
            <w:pPr>
              <w:spacing w:after="0"/>
              <w:rPr>
                <w:sz w:val="22"/>
                <w:szCs w:val="22"/>
                <w:color w:val="auto"/>
              </w:rPr>
            </w:pPr>
          </w:p>
        </w:tc>
        <w:tc>
          <w:tcPr>
            <w:tcW w:w="1500" w:type="dxa"/>
            <w:vAlign w:val="bottom"/>
          </w:tcPr>
          <w:p>
            <w:pPr>
              <w:jc w:val="center"/>
              <w:ind w:right="192"/>
              <w:spacing w:after="0"/>
              <w:rPr>
                <w:sz w:val="20"/>
                <w:szCs w:val="20"/>
                <w:color w:val="auto"/>
              </w:rPr>
            </w:pPr>
            <w:r>
              <w:rPr>
                <w:rFonts w:ascii="Arial" w:cs="Arial" w:eastAsia="Arial" w:hAnsi="Arial"/>
                <w:sz w:val="18"/>
                <w:szCs w:val="18"/>
                <w:color w:val="auto"/>
              </w:rPr>
              <w:t>12 years</w:t>
            </w: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Customer Platforms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43,000,000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29,025,000</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rPr>
              <w:t>10 years</w:t>
            </w:r>
          </w:p>
        </w:tc>
      </w:tr>
      <w:tr>
        <w:trPr>
          <w:trHeight w:val="25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Exclusive Licensing Agreement</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96,000,000</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96,000,000</w:t>
            </w:r>
          </w:p>
        </w:tc>
        <w:tc>
          <w:tcPr>
            <w:tcW w:w="30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jc w:val="center"/>
              <w:ind w:right="192"/>
              <w:spacing w:after="0"/>
              <w:rPr>
                <w:sz w:val="20"/>
                <w:szCs w:val="20"/>
                <w:color w:val="auto"/>
              </w:rPr>
            </w:pPr>
            <w:r>
              <w:rPr>
                <w:rFonts w:ascii="Arial" w:cs="Arial" w:eastAsia="Arial" w:hAnsi="Arial"/>
                <w:sz w:val="18"/>
                <w:szCs w:val="18"/>
                <w:color w:val="auto"/>
              </w:rPr>
              <w:t>Indefinite</w:t>
            </w:r>
          </w:p>
        </w:tc>
      </w:tr>
      <w:tr>
        <w:trPr>
          <w:trHeight w:val="257"/>
        </w:trPr>
        <w:tc>
          <w:tcPr>
            <w:tcW w:w="4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identifiable intangible assets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371,000,000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(62,725,000)</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308,275,000</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675"/>
        </w:trPr>
        <w:tc>
          <w:tcPr>
            <w:tcW w:w="4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393"/>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66" w:name="page67"/>
    <w:bookmarkEnd w:id="66"/>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Accumulated amortization on patents and intangible assets was approximately $101.0 million and $79.2 million at December 31, 2017 and 2016, respectively. Amortization expense on patents and other intangible assets was approximately $22.5 million, $22.3 million, and $22.5 million in 2017, 2016 and 2015, respectively. At December 31, 2017, patents had a weighted average amortized life of 10 years.</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Excluding the impact of any future acquisitions, the Company anticipates amortization expense including patents and other intangible assets for each of the years ended December 31, 2018, 2019, 2020, and 2021 to be approximately $22 million annually and approximately $21 million for the year ended December 31, 2022.</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760"/>
          </w:cols>
          <w:pgMar w:left="900" w:top="118"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60" w:type="dxa"/>
            <w:vAlign w:val="bottom"/>
            <w:gridSpan w:val="15"/>
          </w:tcPr>
          <w:p>
            <w:pPr>
              <w:jc w:val="center"/>
              <w:ind w:right="5060"/>
              <w:spacing w:after="0"/>
              <w:rPr>
                <w:sz w:val="20"/>
                <w:szCs w:val="20"/>
                <w:color w:val="auto"/>
              </w:rPr>
            </w:pPr>
            <w:r>
              <w:rPr>
                <w:rFonts w:ascii="Arial" w:cs="Arial" w:eastAsia="Arial" w:hAnsi="Arial"/>
                <w:sz w:val="18"/>
                <w:szCs w:val="18"/>
                <w:b w:val="1"/>
                <w:bCs w:val="1"/>
                <w:color w:val="auto"/>
                <w:w w:val="99"/>
              </w:rPr>
              <w:t>EXHIBIT INDEX</w:t>
            </w:r>
          </w:p>
        </w:tc>
      </w:tr>
      <w:tr>
        <w:trPr>
          <w:trHeight w:val="528"/>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Borders>
              <w:top w:val="single" w:sz="8" w:color="auto"/>
            </w:tcBorders>
            <w:gridSpan w:val="3"/>
          </w:tcPr>
          <w:p>
            <w:pPr>
              <w:spacing w:after="0"/>
              <w:rPr>
                <w:sz w:val="24"/>
                <w:szCs w:val="24"/>
                <w:color w:val="auto"/>
              </w:rPr>
            </w:pPr>
          </w:p>
        </w:tc>
        <w:tc>
          <w:tcPr>
            <w:tcW w:w="5060" w:type="dxa"/>
            <w:vAlign w:val="bottom"/>
            <w:gridSpan w:val="12"/>
          </w:tcPr>
          <w:p>
            <w:pPr>
              <w:spacing w:after="0"/>
              <w:rPr>
                <w:sz w:val="24"/>
                <w:szCs w:val="24"/>
                <w:color w:val="auto"/>
              </w:rPr>
            </w:pPr>
          </w:p>
        </w:tc>
      </w:tr>
      <w:tr>
        <w:trPr>
          <w:trHeight w:val="324"/>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00" w:type="dxa"/>
            <w:vAlign w:val="bottom"/>
            <w:tcBorders>
              <w:top w:val="single" w:sz="8" w:color="auto"/>
            </w:tcBorders>
            <w:gridSpan w:val="18"/>
          </w:tcPr>
          <w:p>
            <w:pPr>
              <w:spacing w:after="0"/>
              <w:rPr>
                <w:rFonts w:ascii="Arial" w:cs="Arial" w:eastAsia="Arial" w:hAnsi="Arial"/>
                <w:sz w:val="18"/>
                <w:szCs w:val="18"/>
                <w:color w:val="0000FF"/>
              </w:rPr>
            </w:pPr>
            <w:hyperlink r:id="rId37">
              <w:r>
                <w:rPr>
                  <w:rFonts w:ascii="Arial" w:cs="Arial" w:eastAsia="Arial" w:hAnsi="Arial"/>
                  <w:sz w:val="18"/>
                  <w:szCs w:val="18"/>
                  <w:color w:val="0000FF"/>
                </w:rPr>
                <w:t>Registrant's Restated Articles of Incorporation, adopted on August 20, 2004, were filed as Exhibit 3(a) to Registrant's Report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38">
              <w:r>
                <w:rPr>
                  <w:rFonts w:ascii="Arial" w:cs="Arial" w:eastAsia="Arial" w:hAnsi="Arial"/>
                  <w:sz w:val="18"/>
                  <w:szCs w:val="18"/>
                  <w:color w:val="0000FF"/>
                </w:rPr>
                <w:t>on Form 10-Q dated November 2, 2004, and an Amendment to the Registrant's Restated Articles of Incorporation, adopted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as of May 18, 2012, was filed as Exhibit 3.1(i) to the Registrant's Form 8-K dated May 22, 2012, and the same are hereby</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incorporated by reference, together with an Amendment to the Registrant's Restated Articles of Incorporation adopted as of</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May 15, 2014 which was included in the Registrant's Proxy statement which was filed with the Commission March 31, 2014</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and the same is hereby incorporated by reference.</w:t>
              </w:r>
            </w:hyperlink>
          </w:p>
        </w:tc>
        <w:tc>
          <w:tcPr>
            <w:tcW w:w="5940" w:type="dxa"/>
            <w:vAlign w:val="bottom"/>
            <w:tcBorders>
              <w:top w:val="single" w:sz="8" w:color="0000FF"/>
            </w:tcBorders>
            <w:gridSpan w:val="11"/>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40">
              <w:r>
                <w:rPr>
                  <w:rFonts w:ascii="Arial" w:cs="Arial" w:eastAsia="Arial" w:hAnsi="Arial"/>
                  <w:sz w:val="18"/>
                  <w:szCs w:val="18"/>
                  <w:color w:val="0000FF"/>
                </w:rPr>
                <w:t>Registrant’s Bylaws as amended and restated February 27, 2003, was filed as Exhibit 3(b)(1) to Registrant’s report on Form</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41">
              <w:r>
                <w:rPr>
                  <w:rFonts w:ascii="Arial" w:cs="Arial" w:eastAsia="Arial" w:hAnsi="Arial"/>
                  <w:sz w:val="18"/>
                  <w:szCs w:val="18"/>
                  <w:color w:val="0000FF"/>
                </w:rPr>
                <w:t>10-Q dated May 5, 2003, and an Amendment to Registrant’s Bylaws adopted as of February 16, 2012 was filed as Exhibit</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16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r:id="rId41">
              <w:r>
                <w:rPr>
                  <w:rFonts w:ascii="Arial" w:cs="Arial" w:eastAsia="Arial" w:hAnsi="Arial"/>
                  <w:sz w:val="18"/>
                  <w:szCs w:val="18"/>
                  <w:color w:val="0000FF"/>
                  <w:w w:val="99"/>
                </w:rPr>
                <w:t>3(b)</w:t>
              </w:r>
              <w:r>
                <w:rPr>
                  <w:rFonts w:ascii="Arial" w:cs="Arial" w:eastAsia="Arial" w:hAnsi="Arial"/>
                  <w:sz w:val="18"/>
                  <w:szCs w:val="18"/>
                  <w:u w:val="single" w:color="auto"/>
                  <w:color w:val="0000FF"/>
                  <w:w w:val="99"/>
                </w:rPr>
                <w:t>(ii)</w:t>
              </w:r>
              <w:r>
                <w:rPr>
                  <w:rFonts w:ascii="Arial" w:cs="Arial" w:eastAsia="Arial" w:hAnsi="Arial"/>
                  <w:sz w:val="18"/>
                  <w:szCs w:val="18"/>
                  <w:color w:val="0000FF"/>
                  <w:w w:val="99"/>
                </w:rPr>
                <w:t xml:space="preserve"> to Registrant’s Form 8-K dated February 21, 2012 and the same is hereby incorporated herein by reference.</w:t>
              </w:r>
            </w:hyperlink>
          </w:p>
        </w:tc>
        <w:tc>
          <w:tcPr>
            <w:tcW w:w="800" w:type="dxa"/>
            <w:vAlign w:val="bottom"/>
            <w:tcBorders>
              <w:top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8"/>
          </w:tcPr>
          <w:p>
            <w:pPr>
              <w:spacing w:after="0"/>
              <w:rPr>
                <w:rFonts w:ascii="Arial" w:cs="Arial" w:eastAsia="Arial" w:hAnsi="Arial"/>
                <w:sz w:val="18"/>
                <w:szCs w:val="18"/>
                <w:color w:val="0000FF"/>
              </w:rPr>
            </w:pPr>
            <w:hyperlink r:id="rId37">
              <w:r>
                <w:rPr>
                  <w:rFonts w:ascii="Arial" w:cs="Arial" w:eastAsia="Arial" w:hAnsi="Arial"/>
                  <w:sz w:val="18"/>
                  <w:szCs w:val="18"/>
                  <w:color w:val="0000FF"/>
                </w:rPr>
                <w:t>A specimen form of certificate for the Registrant’s common stock, par value $.06 per share, was filed as part of a Registration</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tcBorders>
              <w:bottom w:val="single" w:sz="8" w:color="0000FF"/>
            </w:tcBorders>
            <w:gridSpan w:val="18"/>
          </w:tcPr>
          <w:p>
            <w:pPr>
              <w:spacing w:after="0" w:line="182" w:lineRule="exact"/>
              <w:rPr>
                <w:rFonts w:ascii="Arial" w:cs="Arial" w:eastAsia="Arial" w:hAnsi="Arial"/>
                <w:sz w:val="18"/>
                <w:szCs w:val="18"/>
                <w:color w:val="0000FF"/>
              </w:rPr>
            </w:pPr>
            <w:hyperlink r:id="rId37">
              <w:r>
                <w:rPr>
                  <w:rFonts w:ascii="Arial" w:cs="Arial" w:eastAsia="Arial" w:hAnsi="Arial"/>
                  <w:sz w:val="18"/>
                  <w:szCs w:val="18"/>
                  <w:color w:val="0000FF"/>
                </w:rPr>
                <w:t>Statement (Registration Number 2-74226C) as Exhibit 3(a), as amended by Amendment No. 3 to such Registration</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37">
              <w:r>
                <w:rPr>
                  <w:rFonts w:ascii="Arial" w:cs="Arial" w:eastAsia="Arial" w:hAnsi="Arial"/>
                  <w:sz w:val="18"/>
                  <w:szCs w:val="18"/>
                  <w:color w:val="0000FF"/>
                </w:rPr>
                <w:t>Statement, and the same is hereby 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8"/>
          </w:tcPr>
          <w:p>
            <w:pPr>
              <w:spacing w:after="0"/>
              <w:rPr>
                <w:rFonts w:ascii="Arial" w:cs="Arial" w:eastAsia="Arial" w:hAnsi="Arial"/>
                <w:sz w:val="18"/>
                <w:szCs w:val="18"/>
                <w:color w:val="0000FF"/>
              </w:rPr>
            </w:pPr>
            <w:hyperlink r:id="rId42">
              <w:r>
                <w:rPr>
                  <w:rFonts w:ascii="Arial" w:cs="Arial" w:eastAsia="Arial" w:hAnsi="Arial"/>
                  <w:sz w:val="18"/>
                  <w:szCs w:val="18"/>
                  <w:color w:val="0000FF"/>
                </w:rPr>
                <w:t>Gentex Corporation Qualified Stock Option Plan (as amended and restated, effective February 26, 2004) was included in</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42">
              <w:r>
                <w:rPr>
                  <w:rFonts w:ascii="Arial" w:cs="Arial" w:eastAsia="Arial" w:hAnsi="Arial"/>
                  <w:sz w:val="18"/>
                  <w:szCs w:val="18"/>
                  <w:color w:val="0000FF"/>
                </w:rPr>
                <w:t>Registrant’s Proxy Statement dated April 6, 2004, filed with the Commission on April 6, 2004, and the same is hereby</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tcBorders>
              <w:bottom w:val="single" w:sz="8" w:color="0000FF"/>
            </w:tcBorders>
            <w:gridSpan w:val="18"/>
          </w:tcPr>
          <w:p>
            <w:pPr>
              <w:spacing w:after="0" w:line="182" w:lineRule="exact"/>
              <w:rPr>
                <w:rFonts w:ascii="Arial" w:cs="Arial" w:eastAsia="Arial" w:hAnsi="Arial"/>
                <w:sz w:val="18"/>
                <w:szCs w:val="18"/>
                <w:color w:val="0000FF"/>
              </w:rPr>
            </w:pPr>
            <w:hyperlink r:id="rId43">
              <w:r>
                <w:rPr>
                  <w:rFonts w:ascii="Arial" w:cs="Arial" w:eastAsia="Arial" w:hAnsi="Arial"/>
                  <w:sz w:val="18"/>
                  <w:szCs w:val="18"/>
                  <w:color w:val="0000FF"/>
                </w:rPr>
                <w:t>incorporated herein by reference, and the same became the Gentex Corporation Employee Stock Option Plan and was</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43">
              <w:r>
                <w:rPr>
                  <w:rFonts w:ascii="Arial" w:cs="Arial" w:eastAsia="Arial" w:hAnsi="Arial"/>
                  <w:sz w:val="18"/>
                  <w:szCs w:val="18"/>
                  <w:color w:val="0000FF"/>
                </w:rPr>
                <w:t>amended as of March 4, 2005 by the First Amendment to the Gentex Corporation Qualified Stock Option Plan, which</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43">
              <w:r>
                <w:rPr>
                  <w:rFonts w:ascii="Arial" w:cs="Arial" w:eastAsia="Arial" w:hAnsi="Arial"/>
                  <w:sz w:val="18"/>
                  <w:szCs w:val="18"/>
                  <w:color w:val="0000FF"/>
                </w:rPr>
                <w:t>amendment was included in the Registrant’s Proxy Statement dated April 1, 2005, filed with the Commission on April 1, 2005,</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43">
              <w:r>
                <w:rPr>
                  <w:rFonts w:ascii="Arial" w:cs="Arial" w:eastAsia="Arial" w:hAnsi="Arial"/>
                  <w:sz w:val="18"/>
                  <w:szCs w:val="18"/>
                  <w:color w:val="0000FF"/>
                </w:rPr>
                <w:t>and the same is incorporated herein by reference.</w:t>
              </w:r>
            </w:hyperlink>
          </w:p>
        </w:tc>
        <w:tc>
          <w:tcPr>
            <w:tcW w:w="40" w:type="dxa"/>
            <w:vAlign w:val="bottom"/>
            <w:gridSpan w:val="2"/>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44">
              <w:r>
                <w:rPr>
                  <w:rFonts w:ascii="Arial" w:cs="Arial" w:eastAsia="Arial" w:hAnsi="Arial"/>
                  <w:sz w:val="18"/>
                  <w:szCs w:val="18"/>
                  <w:color w:val="0000FF"/>
                </w:rPr>
                <w:t>Specimen form of Grant Agreement for the Gentex Corporation Qualified Stock Option Plan (as amended and restated,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effective February 26, 2004 and as amended March 4, 2005), was filed as Exhibit 10(b)(3) to Registrant’s Report on Form 10-</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4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Q dated November 1, 2005, and the same is hereby incorporated herein by reference.</w:t>
              </w:r>
            </w:hyperlink>
          </w:p>
        </w:tc>
        <w:tc>
          <w:tcPr>
            <w:tcW w:w="3160" w:type="dxa"/>
            <w:vAlign w:val="bottom"/>
            <w:gridSpan w:val="8"/>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45">
              <w:r>
                <w:rPr>
                  <w:rFonts w:ascii="Arial" w:cs="Arial" w:eastAsia="Arial" w:hAnsi="Arial"/>
                  <w:sz w:val="18"/>
                  <w:szCs w:val="18"/>
                  <w:color w:val="0000FF"/>
                </w:rPr>
                <w:t>Gentex Corporation Second Restricted Stock Plan was filed as Exhibit 10(b)(2) to Registrant’s Report on Form 10-Q dated</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8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45">
              <w:r>
                <w:rPr>
                  <w:rFonts w:ascii="Arial" w:cs="Arial" w:eastAsia="Arial" w:hAnsi="Arial"/>
                  <w:sz w:val="18"/>
                  <w:szCs w:val="18"/>
                  <w:color w:val="0000FF"/>
                  <w:w w:val="99"/>
                </w:rPr>
                <w:t>April 27, 2001, and the same is hereby incorporated herein by reference.</w:t>
              </w:r>
            </w:hyperlink>
          </w:p>
        </w:tc>
        <w:tc>
          <w:tcPr>
            <w:tcW w:w="4180" w:type="dxa"/>
            <w:vAlign w:val="bottom"/>
            <w:tcBorders>
              <w:top w:val="single" w:sz="8" w:color="0000FF"/>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46">
              <w:r>
                <w:rPr>
                  <w:rFonts w:ascii="Arial" w:cs="Arial" w:eastAsia="Arial" w:hAnsi="Arial"/>
                  <w:sz w:val="18"/>
                  <w:szCs w:val="18"/>
                  <w:color w:val="0000FF"/>
                </w:rPr>
                <w:t>First Amendment to the Gentex Corporation Second Restricted Stock Plan was filed as Exhibit 10(b)(5) to the Registrant’s</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Report on Form 10-Q dated August 4, 2008, and the same is hereby incorporated herein by reference.</w:t>
              </w:r>
            </w:hyperlink>
          </w:p>
        </w:tc>
        <w:tc>
          <w:tcPr>
            <w:tcW w:w="1820" w:type="dxa"/>
            <w:vAlign w:val="bottom"/>
            <w:tcBorders>
              <w:top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47">
              <w:r>
                <w:rPr>
                  <w:rFonts w:ascii="Arial" w:cs="Arial" w:eastAsia="Arial" w:hAnsi="Arial"/>
                  <w:sz w:val="18"/>
                  <w:szCs w:val="18"/>
                  <w:color w:val="0000FF"/>
                </w:rPr>
                <w:t>Specimen form of Grant Agreement for the Gentex Corporation Restricted Stock Plan (as amended and restated, effective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47">
              <w:r>
                <w:rPr>
                  <w:rFonts w:ascii="Arial" w:cs="Arial" w:eastAsia="Arial" w:hAnsi="Arial"/>
                  <w:sz w:val="18"/>
                  <w:szCs w:val="18"/>
                  <w:color w:val="0000FF"/>
                </w:rPr>
                <w:t>February 26, 2004), was filed as Exhibit 10(b)(4) to Registrant’s Report on Form 10-Q dated November 2, 2004, and the</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same is hereby incorporated herein by reference.</w:t>
              </w:r>
            </w:hyperlink>
          </w:p>
        </w:tc>
        <w:tc>
          <w:tcPr>
            <w:tcW w:w="6000" w:type="dxa"/>
            <w:vAlign w:val="bottom"/>
            <w:tcBorders>
              <w:top w:val="single" w:sz="8" w:color="0000FF"/>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8"/>
          </w:tcPr>
          <w:p>
            <w:pPr>
              <w:spacing w:after="0"/>
              <w:rPr>
                <w:rFonts w:ascii="Arial" w:cs="Arial" w:eastAsia="Arial" w:hAnsi="Arial"/>
                <w:sz w:val="18"/>
                <w:szCs w:val="18"/>
                <w:color w:val="0000FF"/>
              </w:rPr>
            </w:pPr>
            <w:hyperlink r:id="rId48">
              <w:r>
                <w:rPr>
                  <w:rFonts w:ascii="Arial" w:cs="Arial" w:eastAsia="Arial" w:hAnsi="Arial"/>
                  <w:sz w:val="18"/>
                  <w:szCs w:val="18"/>
                  <w:color w:val="0000FF"/>
                </w:rPr>
                <w:t>Gentex Corporation 2002 Non-Employee Director Stock Option Plan (adopted March 6, 2002) was filed as Exhibit 10(b)(4) to</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4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Registrant’s Report on Form 10-Q dated April 30, 2002, and the same is hereby incorporated herein by reference.</w:t>
              </w:r>
            </w:hyperlink>
          </w:p>
        </w:tc>
        <w:tc>
          <w:tcPr>
            <w:tcW w:w="960" w:type="dxa"/>
            <w:vAlign w:val="bottom"/>
            <w:gridSpan w:val="4"/>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49">
              <w:r>
                <w:rPr>
                  <w:rFonts w:ascii="Arial" w:cs="Arial" w:eastAsia="Arial" w:hAnsi="Arial"/>
                  <w:sz w:val="18"/>
                  <w:szCs w:val="18"/>
                  <w:color w:val="0000FF"/>
                </w:rPr>
                <w:t>Specimen form of Grant Agreement for the Gentex Corporation 2002 Non-Employee Director Stock Option Plan (as</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14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amended and restated, effective February 26, 2004), was filed as Exhibit 10(b)(6) to Registrant’s Report on Form 10-Q dated</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November 2, 2004, and the same is hereby incorporated herein by reference.</w:t>
              </w:r>
            </w:hyperlink>
          </w:p>
        </w:tc>
        <w:tc>
          <w:tcPr>
            <w:tcW w:w="40" w:type="dxa"/>
            <w:vAlign w:val="bottom"/>
            <w:gridSpan w:val="2"/>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14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26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50">
              <w:r>
                <w:rPr>
                  <w:rFonts w:ascii="Arial" w:cs="Arial" w:eastAsia="Arial" w:hAnsi="Arial"/>
                  <w:sz w:val="18"/>
                  <w:szCs w:val="18"/>
                  <w:color w:val="0000FF"/>
                </w:rPr>
                <w:t>Gentex Corporation 2012 Amended and Restated Non-Employee Director Stock Option Plan (effective February 16, 2012</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140" w:type="dxa"/>
            <w:vAlign w:val="bottom"/>
            <w:gridSpan w:val="6"/>
            <w:shd w:val="clear" w:color="auto" w:fill="0000FF"/>
          </w:tcPr>
          <w:p>
            <w:pPr>
              <w:spacing w:after="0" w:line="20" w:lineRule="exact"/>
              <w:rPr>
                <w:sz w:val="1"/>
                <w:szCs w:val="1"/>
                <w:color w:val="auto"/>
              </w:rPr>
            </w:pPr>
          </w:p>
        </w:tc>
        <w:tc>
          <w:tcPr>
            <w:tcW w:w="418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50">
              <w:r>
                <w:rPr>
                  <w:rFonts w:ascii="Arial" w:cs="Arial" w:eastAsia="Arial" w:hAnsi="Arial"/>
                  <w:sz w:val="18"/>
                  <w:szCs w:val="18"/>
                  <w:color w:val="0000FF"/>
                </w:rPr>
                <w:t>and approved by the shareholders on May 17, 2012), was filed as Exhibit 10(b)(10) to Registrant's Report on Form 10-Q</w:t>
              </w:r>
            </w:hyperlink>
          </w:p>
        </w:tc>
        <w:tc>
          <w:tcPr>
            <w:tcW w:w="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8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dated August 2, 2012, and the same is incorporated herein by reference.</w:t>
              </w:r>
            </w:hyperlink>
          </w:p>
        </w:tc>
        <w:tc>
          <w:tcPr>
            <w:tcW w:w="4220" w:type="dxa"/>
            <w:vAlign w:val="bottom"/>
            <w:gridSpan w:val="10"/>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51">
              <w:r>
                <w:rPr>
                  <w:rFonts w:ascii="Arial" w:cs="Arial" w:eastAsia="Arial" w:hAnsi="Arial"/>
                  <w:sz w:val="18"/>
                  <w:szCs w:val="18"/>
                  <w:color w:val="0000FF"/>
                </w:rPr>
                <w:t>Specimen form of Grant Agreement for the Gentex Corporation 2012 Amended and Restated Non-Employee Director Stock</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320" w:type="dxa"/>
            <w:vAlign w:val="bottom"/>
            <w:gridSpan w:val="1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51">
              <w:r>
                <w:rPr>
                  <w:rFonts w:ascii="Arial" w:cs="Arial" w:eastAsia="Arial" w:hAnsi="Arial"/>
                  <w:sz w:val="18"/>
                  <w:szCs w:val="18"/>
                  <w:color w:val="0000FF"/>
                </w:rPr>
                <w:t>Option Plan, was filed as Exhibit 10(b)(11) to Registrant's Report on Form 10-Q dated August 2, 2012, and the same is</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51">
              <w:r>
                <w:rPr>
                  <w:rFonts w:ascii="Arial" w:cs="Arial" w:eastAsia="Arial" w:hAnsi="Arial"/>
                  <w:sz w:val="18"/>
                  <w:szCs w:val="18"/>
                  <w:color w:val="0000FF"/>
                </w:rPr>
                <w:t>incorporated herein by reference.</w:t>
              </w:r>
            </w:hyperlink>
          </w:p>
        </w:tc>
        <w:tc>
          <w:tcPr>
            <w:tcW w:w="40" w:type="dxa"/>
            <w:vAlign w:val="bottom"/>
            <w:gridSpan w:val="2"/>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32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52">
              <w:r>
                <w:rPr>
                  <w:rFonts w:ascii="Arial" w:cs="Arial" w:eastAsia="Arial" w:hAnsi="Arial"/>
                  <w:sz w:val="18"/>
                  <w:szCs w:val="18"/>
                  <w:color w:val="0000FF"/>
                </w:rPr>
                <w:t>The form of Indemnity Agreement between Registrant and each of the Registrant’s directors and certain officers was filed as</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160" w:type="dxa"/>
            <w:vAlign w:val="bottom"/>
            <w:gridSpan w:val="1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tcBorders>
              <w:bottom w:val="single" w:sz="8" w:color="0000FF"/>
            </w:tcBorders>
            <w:gridSpan w:val="18"/>
          </w:tcPr>
          <w:p>
            <w:pPr>
              <w:spacing w:after="0" w:line="182" w:lineRule="exact"/>
              <w:rPr>
                <w:rFonts w:ascii="Arial" w:cs="Arial" w:eastAsia="Arial" w:hAnsi="Arial"/>
                <w:sz w:val="18"/>
                <w:szCs w:val="18"/>
                <w:color w:val="0000FF"/>
              </w:rPr>
            </w:pPr>
            <w:hyperlink r:id="rId52">
              <w:r>
                <w:rPr>
                  <w:rFonts w:ascii="Arial" w:cs="Arial" w:eastAsia="Arial" w:hAnsi="Arial"/>
                  <w:sz w:val="18"/>
                  <w:szCs w:val="18"/>
                  <w:color w:val="0000FF"/>
                </w:rPr>
                <w:t>Exhibit 10(e) to Registrant’s Report on Form 10-Q dated October 31, 2002, and the same is hereby incorporated herein by</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52">
              <w:r>
                <w:rPr>
                  <w:rFonts w:ascii="Arial" w:cs="Arial" w:eastAsia="Arial" w:hAnsi="Arial"/>
                  <w:sz w:val="18"/>
                  <w:szCs w:val="18"/>
                  <w:color w:val="0000FF"/>
                </w:rPr>
                <w:t>reference.</w:t>
              </w:r>
            </w:hyperlink>
          </w:p>
        </w:tc>
      </w:tr>
      <w:tr>
        <w:trPr>
          <w:trHeight w:val="61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140" w:type="dxa"/>
            <w:vAlign w:val="bottom"/>
            <w:gridSpan w:val="5"/>
          </w:tcPr>
          <w:p>
            <w:pPr>
              <w:jc w:val="right"/>
              <w:ind w:right="540"/>
              <w:spacing w:after="0"/>
              <w:rPr>
                <w:sz w:val="20"/>
                <w:szCs w:val="20"/>
                <w:color w:val="auto"/>
              </w:rPr>
            </w:pPr>
            <w:r>
              <w:rPr>
                <w:rFonts w:ascii="Arial" w:cs="Arial" w:eastAsia="Arial" w:hAnsi="Arial"/>
                <w:sz w:val="18"/>
                <w:szCs w:val="18"/>
                <w:color w:val="auto"/>
              </w:rPr>
              <w:t>67</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67" w:right="239" w:bottom="1440" w:gutter="0" w:footer="0" w:header="0"/>
        </w:sectPr>
      </w:pPr>
    </w:p>
    <w:bookmarkStart w:id="68" w:name="page69"/>
    <w:bookmarkEnd w:id="68"/>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10.11</w:t>
            </w:r>
          </w:p>
        </w:tc>
        <w:tc>
          <w:tcPr>
            <w:tcW w:w="9980" w:type="dxa"/>
            <w:vAlign w:val="bottom"/>
            <w:gridSpan w:val="12"/>
          </w:tcPr>
          <w:p>
            <w:pPr>
              <w:spacing w:after="0"/>
              <w:rPr>
                <w:rFonts w:ascii="Arial" w:cs="Arial" w:eastAsia="Arial" w:hAnsi="Arial"/>
                <w:sz w:val="18"/>
                <w:szCs w:val="18"/>
                <w:color w:val="0000FF"/>
              </w:rPr>
            </w:pPr>
            <w:hyperlink r:id="rId53">
              <w:r>
                <w:rPr>
                  <w:rFonts w:ascii="Arial" w:cs="Arial" w:eastAsia="Arial" w:hAnsi="Arial"/>
                  <w:sz w:val="18"/>
                  <w:szCs w:val="18"/>
                  <w:color w:val="0000FF"/>
                </w:rPr>
                <w:t>Credit Agreement, dated September 27, 2013, by and between the Company, the Agent, the Syndication Agent, the</w:t>
              </w:r>
            </w:hyperlink>
          </w:p>
        </w:tc>
      </w:tr>
      <w:tr>
        <w:trPr>
          <w:trHeight w:val="20"/>
        </w:trPr>
        <w:tc>
          <w:tcPr>
            <w:tcW w:w="13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9980" w:type="dxa"/>
            <w:vAlign w:val="bottom"/>
            <w:gridSpan w:val="12"/>
          </w:tcPr>
          <w:p>
            <w:pPr>
              <w:spacing w:after="0" w:line="182" w:lineRule="exact"/>
              <w:rPr>
                <w:rFonts w:ascii="Arial" w:cs="Arial" w:eastAsia="Arial" w:hAnsi="Arial"/>
                <w:sz w:val="18"/>
                <w:szCs w:val="18"/>
                <w:color w:val="0000FF"/>
              </w:rPr>
            </w:pPr>
            <w:hyperlink r:id="rId53">
              <w:r>
                <w:rPr>
                  <w:rFonts w:ascii="Arial" w:cs="Arial" w:eastAsia="Arial" w:hAnsi="Arial"/>
                  <w:sz w:val="18"/>
                  <w:szCs w:val="18"/>
                  <w:color w:val="0000FF"/>
                </w:rPr>
                <w:t>Arranger, and the lenders thereto was filed as exhibit 10.1 to Registrant's Report on Form 8-K filed October 3, 2013, and the</w:t>
              </w:r>
            </w:hyperlink>
          </w:p>
        </w:tc>
      </w:tr>
      <w:tr>
        <w:trPr>
          <w:trHeight w:val="183"/>
        </w:trPr>
        <w:tc>
          <w:tcPr>
            <w:tcW w:w="1380" w:type="dxa"/>
            <w:vAlign w:val="bottom"/>
          </w:tcPr>
          <w:p>
            <w:pPr>
              <w:spacing w:after="0"/>
              <w:rPr>
                <w:sz w:val="15"/>
                <w:szCs w:val="15"/>
                <w:color w:val="auto"/>
              </w:rPr>
            </w:pPr>
          </w:p>
        </w:tc>
        <w:tc>
          <w:tcPr>
            <w:tcW w:w="392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same is hereby incorporated herein by reference.</w:t>
              </w:r>
            </w:hyperlink>
          </w:p>
        </w:tc>
        <w:tc>
          <w:tcPr>
            <w:tcW w:w="5980" w:type="dxa"/>
            <w:vAlign w:val="bottom"/>
            <w:tcBorders>
              <w:top w:val="single" w:sz="8" w:color="0000FF"/>
            </w:tcBorders>
            <w:gridSpan w:val="3"/>
          </w:tcPr>
          <w:p>
            <w:pPr>
              <w:spacing w:after="0"/>
              <w:rPr>
                <w:sz w:val="15"/>
                <w:szCs w:val="15"/>
                <w:color w:val="auto"/>
              </w:rPr>
            </w:pPr>
          </w:p>
        </w:tc>
        <w:tc>
          <w:tcPr>
            <w:tcW w:w="80" w:type="dxa"/>
            <w:vAlign w:val="bottom"/>
          </w:tcPr>
          <w:p>
            <w:pPr>
              <w:spacing w:after="0"/>
              <w:rPr>
                <w:sz w:val="15"/>
                <w:szCs w:val="15"/>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*10.12</w:t>
            </w:r>
          </w:p>
        </w:tc>
        <w:tc>
          <w:tcPr>
            <w:tcW w:w="9980" w:type="dxa"/>
            <w:vAlign w:val="bottom"/>
            <w:gridSpan w:val="12"/>
          </w:tcPr>
          <w:p>
            <w:pPr>
              <w:spacing w:after="0"/>
              <w:rPr>
                <w:rFonts w:ascii="Arial" w:cs="Arial" w:eastAsia="Arial" w:hAnsi="Arial"/>
                <w:sz w:val="18"/>
                <w:szCs w:val="18"/>
                <w:color w:val="0000FF"/>
              </w:rPr>
            </w:pPr>
            <w:hyperlink r:id="rId39">
              <w:r>
                <w:rPr>
                  <w:rFonts w:ascii="Arial" w:cs="Arial" w:eastAsia="Arial" w:hAnsi="Arial"/>
                  <w:sz w:val="18"/>
                  <w:szCs w:val="18"/>
                  <w:color w:val="0000FF"/>
                </w:rPr>
                <w:t>Gentex Corporation Employee Stock Option Plan (as amended and restated, effective February 20, 2014) was included in</w:t>
              </w:r>
            </w:hyperlink>
          </w:p>
        </w:tc>
      </w:tr>
      <w:tr>
        <w:trPr>
          <w:trHeight w:val="20"/>
        </w:trPr>
        <w:tc>
          <w:tcPr>
            <w:tcW w:w="13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9980" w:type="dxa"/>
            <w:vAlign w:val="bottom"/>
            <w:gridSpan w:val="12"/>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Registrant's Proxy Statement filed with the Commission on March 31, 2014, and the same is hereby incorporated herein by</w:t>
              </w:r>
            </w:hyperlink>
          </w:p>
        </w:tc>
      </w:tr>
      <w:tr>
        <w:trPr>
          <w:trHeight w:val="183"/>
        </w:trPr>
        <w:tc>
          <w:tcPr>
            <w:tcW w:w="1380" w:type="dxa"/>
            <w:vAlign w:val="bottom"/>
          </w:tcPr>
          <w:p>
            <w:pPr>
              <w:spacing w:after="0"/>
              <w:rPr>
                <w:sz w:val="15"/>
                <w:szCs w:val="15"/>
                <w:color w:val="auto"/>
              </w:rPr>
            </w:pPr>
          </w:p>
        </w:tc>
        <w:tc>
          <w:tcPr>
            <w:tcW w:w="990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reference.</w:t>
              </w:r>
            </w:hyperlink>
          </w:p>
        </w:tc>
        <w:tc>
          <w:tcPr>
            <w:tcW w:w="8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*10.13</w:t>
            </w:r>
          </w:p>
        </w:tc>
        <w:tc>
          <w:tcPr>
            <w:tcW w:w="9980" w:type="dxa"/>
            <w:vAlign w:val="bottom"/>
            <w:gridSpan w:val="12"/>
          </w:tcPr>
          <w:p>
            <w:pPr>
              <w:spacing w:after="0"/>
              <w:rPr>
                <w:rFonts w:ascii="Arial" w:cs="Arial" w:eastAsia="Arial" w:hAnsi="Arial"/>
                <w:sz w:val="18"/>
                <w:szCs w:val="18"/>
                <w:color w:val="0000FF"/>
              </w:rPr>
            </w:pPr>
            <w:hyperlink r:id="rId54">
              <w:r>
                <w:rPr>
                  <w:rFonts w:ascii="Arial" w:cs="Arial" w:eastAsia="Arial" w:hAnsi="Arial"/>
                  <w:sz w:val="18"/>
                  <w:szCs w:val="18"/>
                  <w:color w:val="0000FF"/>
                </w:rPr>
                <w:t>Specimen form of Grant Agreement for the Gentex Corporation Employee Stock Option Plan (as amended and restated,</w:t>
              </w:r>
            </w:hyperlink>
          </w:p>
        </w:tc>
      </w:tr>
      <w:tr>
        <w:trPr>
          <w:trHeight w:val="20"/>
        </w:trPr>
        <w:tc>
          <w:tcPr>
            <w:tcW w:w="138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998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54">
              <w:r>
                <w:rPr>
                  <w:rFonts w:ascii="Arial" w:cs="Arial" w:eastAsia="Arial" w:hAnsi="Arial"/>
                  <w:sz w:val="18"/>
                  <w:szCs w:val="18"/>
                  <w:color w:val="0000FF"/>
                </w:rPr>
                <w:t>effective February 10, 2014 was filed as exhibit 10.3 to Registrant's Report on Form 10-Q filed August 7, 2014, and the same</w:t>
              </w:r>
            </w:hyperlink>
          </w:p>
        </w:tc>
      </w:tr>
      <w:tr>
        <w:trPr>
          <w:trHeight w:val="183"/>
        </w:trPr>
        <w:tc>
          <w:tcPr>
            <w:tcW w:w="1380" w:type="dxa"/>
            <w:vAlign w:val="bottom"/>
          </w:tcPr>
          <w:p>
            <w:pPr>
              <w:spacing w:after="0"/>
              <w:rPr>
                <w:sz w:val="15"/>
                <w:szCs w:val="15"/>
                <w:color w:val="auto"/>
              </w:rPr>
            </w:pPr>
          </w:p>
        </w:tc>
        <w:tc>
          <w:tcPr>
            <w:tcW w:w="9980" w:type="dxa"/>
            <w:vAlign w:val="bottom"/>
            <w:gridSpan w:val="12"/>
          </w:tcPr>
          <w:p>
            <w:pPr>
              <w:spacing w:after="0" w:line="182" w:lineRule="exact"/>
              <w:rPr>
                <w:rFonts w:ascii="Arial" w:cs="Arial" w:eastAsia="Arial" w:hAnsi="Arial"/>
                <w:sz w:val="18"/>
                <w:szCs w:val="18"/>
                <w:color w:val="0000FF"/>
              </w:rPr>
            </w:pPr>
            <w:hyperlink r:id="rId54">
              <w:r>
                <w:rPr>
                  <w:rFonts w:ascii="Arial" w:cs="Arial" w:eastAsia="Arial" w:hAnsi="Arial"/>
                  <w:sz w:val="18"/>
                  <w:szCs w:val="18"/>
                  <w:color w:val="0000FF"/>
                </w:rPr>
                <w:t>is hereby incorporated herein by reference.</w:t>
              </w:r>
            </w:hyperlink>
          </w:p>
        </w:tc>
      </w:tr>
      <w:tr>
        <w:trPr>
          <w:trHeight w:val="20"/>
        </w:trPr>
        <w:tc>
          <w:tcPr>
            <w:tcW w:w="138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*10.14</w:t>
            </w:r>
          </w:p>
        </w:tc>
        <w:tc>
          <w:tcPr>
            <w:tcW w:w="9980" w:type="dxa"/>
            <w:vAlign w:val="bottom"/>
            <w:gridSpan w:val="12"/>
          </w:tcPr>
          <w:p>
            <w:pPr>
              <w:spacing w:after="0"/>
              <w:rPr>
                <w:rFonts w:ascii="Arial" w:cs="Arial" w:eastAsia="Arial" w:hAnsi="Arial"/>
                <w:sz w:val="18"/>
                <w:szCs w:val="18"/>
                <w:color w:val="0000FF"/>
              </w:rPr>
            </w:pPr>
            <w:hyperlink r:id="rId39">
              <w:r>
                <w:rPr>
                  <w:rFonts w:ascii="Arial" w:cs="Arial" w:eastAsia="Arial" w:hAnsi="Arial"/>
                  <w:sz w:val="18"/>
                  <w:szCs w:val="18"/>
                  <w:color w:val="0000FF"/>
                </w:rPr>
                <w:t>Amendment to the Gentex Corporation 2012 Amended and Restated Non-Employee Director Stock Option Plan (effective</w:t>
              </w:r>
            </w:hyperlink>
          </w:p>
        </w:tc>
      </w:tr>
      <w:tr>
        <w:trPr>
          <w:trHeight w:val="20"/>
        </w:trPr>
        <w:tc>
          <w:tcPr>
            <w:tcW w:w="138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998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February 16, 2012) was included in the Registrant's Proxy Statement filed with the Commission on March 31, 2014, and the</w:t>
              </w:r>
            </w:hyperlink>
          </w:p>
        </w:tc>
      </w:tr>
      <w:tr>
        <w:trPr>
          <w:trHeight w:val="183"/>
        </w:trPr>
        <w:tc>
          <w:tcPr>
            <w:tcW w:w="1380" w:type="dxa"/>
            <w:vAlign w:val="bottom"/>
          </w:tcPr>
          <w:p>
            <w:pPr>
              <w:spacing w:after="0"/>
              <w:rPr>
                <w:sz w:val="15"/>
                <w:szCs w:val="15"/>
                <w:color w:val="auto"/>
              </w:rPr>
            </w:pPr>
          </w:p>
        </w:tc>
        <w:tc>
          <w:tcPr>
            <w:tcW w:w="392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same is hereby incorporated herein by reference.</w:t>
              </w:r>
            </w:hyperlink>
          </w:p>
        </w:tc>
        <w:tc>
          <w:tcPr>
            <w:tcW w:w="6060" w:type="dxa"/>
            <w:vAlign w:val="bottom"/>
            <w:gridSpan w:val="4"/>
          </w:tcPr>
          <w:p>
            <w:pPr>
              <w:spacing w:after="0"/>
              <w:rPr>
                <w:sz w:val="15"/>
                <w:szCs w:val="15"/>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*10.15</w:t>
            </w:r>
          </w:p>
        </w:tc>
        <w:tc>
          <w:tcPr>
            <w:tcW w:w="9980" w:type="dxa"/>
            <w:vAlign w:val="bottom"/>
            <w:gridSpan w:val="12"/>
          </w:tcPr>
          <w:p>
            <w:pPr>
              <w:spacing w:after="0"/>
              <w:rPr>
                <w:rFonts w:ascii="Arial" w:cs="Arial" w:eastAsia="Arial" w:hAnsi="Arial"/>
                <w:sz w:val="18"/>
                <w:szCs w:val="18"/>
                <w:color w:val="0000FF"/>
              </w:rPr>
            </w:pPr>
            <w:hyperlink r:id="rId55">
              <w:r>
                <w:rPr>
                  <w:rFonts w:ascii="Arial" w:cs="Arial" w:eastAsia="Arial" w:hAnsi="Arial"/>
                  <w:sz w:val="18"/>
                  <w:szCs w:val="18"/>
                  <w:color w:val="0000FF"/>
                </w:rPr>
                <w:t>Specimen form of Grant Agreement for the Gentex Corporation 2012 Amended and Restated Non-Employee Director Stock</w:t>
              </w:r>
            </w:hyperlink>
          </w:p>
        </w:tc>
      </w:tr>
      <w:tr>
        <w:trPr>
          <w:trHeight w:val="20"/>
        </w:trPr>
        <w:tc>
          <w:tcPr>
            <w:tcW w:w="138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9980" w:type="dxa"/>
            <w:vAlign w:val="bottom"/>
            <w:gridSpan w:val="12"/>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Option Plan, as amended was filed as exhibit 10.5 to Registrant's Report on Form 10-Q filed August 7, 2014, and the same is</w:t>
              </w:r>
            </w:hyperlink>
          </w:p>
        </w:tc>
      </w:tr>
      <w:tr>
        <w:trPr>
          <w:trHeight w:val="183"/>
        </w:trPr>
        <w:tc>
          <w:tcPr>
            <w:tcW w:w="1380" w:type="dxa"/>
            <w:vAlign w:val="bottom"/>
          </w:tcPr>
          <w:p>
            <w:pPr>
              <w:spacing w:after="0"/>
              <w:rPr>
                <w:sz w:val="15"/>
                <w:szCs w:val="15"/>
                <w:color w:val="auto"/>
              </w:rPr>
            </w:pPr>
          </w:p>
        </w:tc>
        <w:tc>
          <w:tcPr>
            <w:tcW w:w="990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hereby incorporated herein by reference.</w:t>
              </w:r>
            </w:hyperlink>
          </w:p>
        </w:tc>
        <w:tc>
          <w:tcPr>
            <w:tcW w:w="8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10.16</w:t>
            </w:r>
          </w:p>
        </w:tc>
        <w:tc>
          <w:tcPr>
            <w:tcW w:w="9980" w:type="dxa"/>
            <w:vAlign w:val="bottom"/>
            <w:gridSpan w:val="12"/>
          </w:tcPr>
          <w:p>
            <w:pPr>
              <w:spacing w:after="0"/>
              <w:rPr>
                <w:rFonts w:ascii="Arial" w:cs="Arial" w:eastAsia="Arial" w:hAnsi="Arial"/>
                <w:sz w:val="18"/>
                <w:szCs w:val="18"/>
                <w:color w:val="0000FF"/>
              </w:rPr>
            </w:pPr>
            <w:hyperlink r:id="rId56">
              <w:r>
                <w:rPr>
                  <w:rFonts w:ascii="Arial" w:cs="Arial" w:eastAsia="Arial" w:hAnsi="Arial"/>
                  <w:sz w:val="18"/>
                  <w:szCs w:val="18"/>
                  <w:color w:val="0000FF"/>
                </w:rPr>
                <w:t>ISDA Master Agreement between Wells Fargo Bank, N.A. and Gentex Corporation dated as of October 1, 2014 (with</w:t>
              </w:r>
            </w:hyperlink>
          </w:p>
        </w:tc>
      </w:tr>
      <w:tr>
        <w:trPr>
          <w:trHeight w:val="20"/>
        </w:trPr>
        <w:tc>
          <w:tcPr>
            <w:tcW w:w="138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998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56">
              <w:r>
                <w:rPr>
                  <w:rFonts w:ascii="Arial" w:cs="Arial" w:eastAsia="Arial" w:hAnsi="Arial"/>
                  <w:sz w:val="18"/>
                  <w:szCs w:val="18"/>
                  <w:color w:val="0000FF"/>
                </w:rPr>
                <w:t>Schedule to the Master Agreement) was filed as Exhibit 10.1 to Registrant's Report on Form 10-Q dated November 10, 2014</w:t>
              </w:r>
            </w:hyperlink>
          </w:p>
        </w:tc>
      </w:tr>
      <w:tr>
        <w:trPr>
          <w:trHeight w:val="183"/>
        </w:trPr>
        <w:tc>
          <w:tcPr>
            <w:tcW w:w="1380" w:type="dxa"/>
            <w:vAlign w:val="bottom"/>
          </w:tcPr>
          <w:p>
            <w:pPr>
              <w:spacing w:after="0"/>
              <w:rPr>
                <w:sz w:val="15"/>
                <w:szCs w:val="15"/>
                <w:color w:val="auto"/>
              </w:rPr>
            </w:pPr>
          </w:p>
        </w:tc>
        <w:tc>
          <w:tcPr>
            <w:tcW w:w="9980" w:type="dxa"/>
            <w:vAlign w:val="bottom"/>
            <w:gridSpan w:val="12"/>
          </w:tcPr>
          <w:p>
            <w:pPr>
              <w:spacing w:after="0" w:line="182" w:lineRule="exact"/>
              <w:rPr>
                <w:rFonts w:ascii="Arial" w:cs="Arial" w:eastAsia="Arial" w:hAnsi="Arial"/>
                <w:sz w:val="18"/>
                <w:szCs w:val="18"/>
                <w:color w:val="0000FF"/>
              </w:rPr>
            </w:pPr>
            <w:hyperlink r:id="rId56">
              <w:r>
                <w:rPr>
                  <w:rFonts w:ascii="Arial" w:cs="Arial" w:eastAsia="Arial" w:hAnsi="Arial"/>
                  <w:sz w:val="18"/>
                  <w:szCs w:val="18"/>
                  <w:color w:val="0000FF"/>
                </w:rPr>
                <w:t>and the same is hereby incorporated herein by reference.</w:t>
              </w:r>
            </w:hyperlink>
          </w:p>
        </w:tc>
      </w:tr>
      <w:tr>
        <w:trPr>
          <w:trHeight w:val="20"/>
        </w:trPr>
        <w:tc>
          <w:tcPr>
            <w:tcW w:w="138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*10.17</w:t>
            </w:r>
          </w:p>
        </w:tc>
        <w:tc>
          <w:tcPr>
            <w:tcW w:w="9980" w:type="dxa"/>
            <w:vAlign w:val="bottom"/>
            <w:gridSpan w:val="12"/>
          </w:tcPr>
          <w:p>
            <w:pPr>
              <w:spacing w:after="0"/>
              <w:rPr>
                <w:rFonts w:ascii="Arial" w:cs="Arial" w:eastAsia="Arial" w:hAnsi="Arial"/>
                <w:sz w:val="18"/>
                <w:szCs w:val="18"/>
                <w:color w:val="0000FF"/>
              </w:rPr>
            </w:pPr>
            <w:hyperlink r:id="rId57">
              <w:r>
                <w:rPr>
                  <w:rFonts w:ascii="Arial" w:cs="Arial" w:eastAsia="Arial" w:hAnsi="Arial"/>
                  <w:sz w:val="18"/>
                  <w:szCs w:val="18"/>
                  <w:color w:val="0000FF"/>
                </w:rPr>
                <w:t>Second amendment to the Gentex Corporation Second Restricted Stock Plan (as amended on February 8, 2008) was</w:t>
              </w:r>
            </w:hyperlink>
          </w:p>
        </w:tc>
      </w:tr>
      <w:tr>
        <w:trPr>
          <w:trHeight w:val="20"/>
        </w:trPr>
        <w:tc>
          <w:tcPr>
            <w:tcW w:w="138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998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57">
              <w:r>
                <w:rPr>
                  <w:rFonts w:ascii="Arial" w:cs="Arial" w:eastAsia="Arial" w:hAnsi="Arial"/>
                  <w:sz w:val="18"/>
                  <w:szCs w:val="18"/>
                  <w:color w:val="0000FF"/>
                </w:rPr>
                <w:t>included in the Registrant's proxy Statement filed with the Commission on April 2, 2015, and the same is hereby incorporated</w:t>
              </w:r>
            </w:hyperlink>
          </w:p>
        </w:tc>
      </w:tr>
      <w:tr>
        <w:trPr>
          <w:trHeight w:val="183"/>
        </w:trPr>
        <w:tc>
          <w:tcPr>
            <w:tcW w:w="1380" w:type="dxa"/>
            <w:vAlign w:val="bottom"/>
          </w:tcPr>
          <w:p>
            <w:pPr>
              <w:spacing w:after="0"/>
              <w:rPr>
                <w:sz w:val="15"/>
                <w:szCs w:val="15"/>
                <w:color w:val="auto"/>
              </w:rPr>
            </w:pPr>
          </w:p>
        </w:tc>
        <w:tc>
          <w:tcPr>
            <w:tcW w:w="160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57">
              <w:r>
                <w:rPr>
                  <w:rFonts w:ascii="Arial" w:cs="Arial" w:eastAsia="Arial" w:hAnsi="Arial"/>
                  <w:sz w:val="18"/>
                  <w:szCs w:val="18"/>
                  <w:color w:val="0000FF"/>
                  <w:w w:val="98"/>
                </w:rPr>
                <w:t>herein by reference.</w:t>
              </w:r>
            </w:hyperlink>
          </w:p>
        </w:tc>
        <w:tc>
          <w:tcPr>
            <w:tcW w:w="8380" w:type="dxa"/>
            <w:vAlign w:val="bottom"/>
            <w:gridSpan w:val="10"/>
          </w:tcPr>
          <w:p>
            <w:pPr>
              <w:spacing w:after="0"/>
              <w:rPr>
                <w:sz w:val="15"/>
                <w:szCs w:val="15"/>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*10.18</w:t>
            </w:r>
          </w:p>
        </w:tc>
        <w:tc>
          <w:tcPr>
            <w:tcW w:w="9980" w:type="dxa"/>
            <w:vAlign w:val="bottom"/>
            <w:gridSpan w:val="12"/>
          </w:tcPr>
          <w:p>
            <w:pPr>
              <w:spacing w:after="0"/>
              <w:rPr>
                <w:rFonts w:ascii="Arial" w:cs="Arial" w:eastAsia="Arial" w:hAnsi="Arial"/>
                <w:sz w:val="18"/>
                <w:szCs w:val="18"/>
                <w:color w:val="0000FF"/>
              </w:rPr>
            </w:pPr>
            <w:hyperlink r:id="rId57">
              <w:r>
                <w:rPr>
                  <w:rFonts w:ascii="Arial" w:cs="Arial" w:eastAsia="Arial" w:hAnsi="Arial"/>
                  <w:sz w:val="18"/>
                  <w:szCs w:val="18"/>
                  <w:color w:val="0000FF"/>
                </w:rPr>
                <w:t>Amendment to the Gentex Corporation 2013 Employee Stock Purchase Plan (effective February 14, 2013) was included in</w:t>
              </w:r>
            </w:hyperlink>
          </w:p>
        </w:tc>
      </w:tr>
      <w:tr>
        <w:trPr>
          <w:trHeight w:val="183"/>
        </w:trPr>
        <w:tc>
          <w:tcPr>
            <w:tcW w:w="1380" w:type="dxa"/>
            <w:vAlign w:val="bottom"/>
          </w:tcPr>
          <w:p>
            <w:pPr>
              <w:spacing w:after="0"/>
              <w:rPr>
                <w:sz w:val="15"/>
                <w:szCs w:val="15"/>
                <w:color w:val="auto"/>
              </w:rPr>
            </w:pPr>
          </w:p>
        </w:tc>
        <w:tc>
          <w:tcPr>
            <w:tcW w:w="9900" w:type="dxa"/>
            <w:vAlign w:val="bottom"/>
            <w:tcBorders>
              <w:top w:val="single" w:sz="8" w:color="0000FF"/>
            </w:tcBorders>
            <w:gridSpan w:val="11"/>
          </w:tcPr>
          <w:p>
            <w:pPr>
              <w:spacing w:after="0" w:line="182" w:lineRule="exact"/>
              <w:rPr>
                <w:rFonts w:ascii="Arial" w:cs="Arial" w:eastAsia="Arial" w:hAnsi="Arial"/>
                <w:sz w:val="18"/>
                <w:szCs w:val="18"/>
                <w:color w:val="0000FF"/>
                <w:w w:val="99"/>
              </w:rPr>
            </w:pPr>
            <w:hyperlink r:id="rId57">
              <w:r>
                <w:rPr>
                  <w:rFonts w:ascii="Arial" w:cs="Arial" w:eastAsia="Arial" w:hAnsi="Arial"/>
                  <w:sz w:val="18"/>
                  <w:szCs w:val="18"/>
                  <w:color w:val="0000FF"/>
                  <w:w w:val="99"/>
                </w:rPr>
                <w:t>the Registrant's Proxy Statement filed with the Commission on April 2, 2015, and is hereby incorporated herein by reference.</w:t>
              </w:r>
            </w:hyperlink>
          </w:p>
        </w:tc>
        <w:tc>
          <w:tcPr>
            <w:tcW w:w="8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*10.19</w:t>
            </w:r>
          </w:p>
        </w:tc>
        <w:tc>
          <w:tcPr>
            <w:tcW w:w="9980" w:type="dxa"/>
            <w:vAlign w:val="bottom"/>
            <w:gridSpan w:val="12"/>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Gentex Corporation Amended and Restated Annual Incentive Performance-Based Bonus Plan (as amended on February 15,</w:t>
              </w:r>
            </w:hyperlink>
          </w:p>
        </w:tc>
      </w:tr>
      <w:tr>
        <w:trPr>
          <w:trHeight w:val="183"/>
        </w:trPr>
        <w:tc>
          <w:tcPr>
            <w:tcW w:w="1380" w:type="dxa"/>
            <w:vAlign w:val="bottom"/>
          </w:tcPr>
          <w:p>
            <w:pPr>
              <w:spacing w:after="0"/>
              <w:rPr>
                <w:sz w:val="15"/>
                <w:szCs w:val="15"/>
                <w:color w:val="auto"/>
              </w:rPr>
            </w:pPr>
          </w:p>
        </w:tc>
        <w:tc>
          <w:tcPr>
            <w:tcW w:w="990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w:anchor="page70">
              <w:r>
                <w:rPr>
                  <w:rFonts w:ascii="Arial" w:cs="Arial" w:eastAsia="Arial" w:hAnsi="Arial"/>
                  <w:sz w:val="18"/>
                  <w:szCs w:val="18"/>
                  <w:color w:val="0000FF"/>
                </w:rPr>
                <w:t>2018) filed as an exhibit to Registrant's Report on Form 10-K dated February 21, 2018.</w:t>
              </w:r>
            </w:hyperlink>
          </w:p>
        </w:tc>
        <w:tc>
          <w:tcPr>
            <w:tcW w:w="8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*10.20</w:t>
            </w:r>
          </w:p>
        </w:tc>
        <w:tc>
          <w:tcPr>
            <w:tcW w:w="9980" w:type="dxa"/>
            <w:vAlign w:val="bottom"/>
            <w:tcBorders>
              <w:bottom w:val="single" w:sz="8" w:color="0000FF"/>
            </w:tcBorders>
            <w:gridSpan w:val="12"/>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Retirement from Service Agreement between Gentex Corporation and Fred Bauer filed as exhibit to Registrant's Report on</w:t>
              </w:r>
            </w:hyperlink>
          </w:p>
        </w:tc>
      </w:tr>
      <w:tr>
        <w:trPr>
          <w:trHeight w:val="183"/>
        </w:trPr>
        <w:tc>
          <w:tcPr>
            <w:tcW w:w="1380" w:type="dxa"/>
            <w:vAlign w:val="bottom"/>
          </w:tcPr>
          <w:p>
            <w:pPr>
              <w:spacing w:after="0"/>
              <w:rPr>
                <w:sz w:val="15"/>
                <w:szCs w:val="15"/>
                <w:color w:val="auto"/>
              </w:rPr>
            </w:pPr>
          </w:p>
        </w:tc>
        <w:tc>
          <w:tcPr>
            <w:tcW w:w="292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w:anchor="page73">
              <w:r>
                <w:rPr>
                  <w:rFonts w:ascii="Arial" w:cs="Arial" w:eastAsia="Arial" w:hAnsi="Arial"/>
                  <w:sz w:val="18"/>
                  <w:szCs w:val="18"/>
                  <w:color w:val="0000FF"/>
                  <w:w w:val="99"/>
                </w:rPr>
                <w:t>Form 10-K dated February 21, 2018.</w:t>
              </w:r>
            </w:hyperlink>
          </w:p>
        </w:tc>
        <w:tc>
          <w:tcPr>
            <w:tcW w:w="7060" w:type="dxa"/>
            <w:vAlign w:val="bottom"/>
            <w:gridSpan w:val="7"/>
          </w:tcPr>
          <w:p>
            <w:pPr>
              <w:spacing w:after="0"/>
              <w:rPr>
                <w:sz w:val="15"/>
                <w:szCs w:val="15"/>
                <w:color w:val="auto"/>
              </w:rPr>
            </w:pPr>
          </w:p>
        </w:tc>
      </w:tr>
      <w:tr>
        <w:trPr>
          <w:trHeight w:val="358"/>
        </w:trPr>
        <w:tc>
          <w:tcPr>
            <w:tcW w:w="1380" w:type="dxa"/>
            <w:vAlign w:val="bottom"/>
          </w:tcPr>
          <w:p>
            <w:pPr>
              <w:spacing w:after="0"/>
              <w:rPr>
                <w:sz w:val="20"/>
                <w:szCs w:val="20"/>
                <w:color w:val="auto"/>
              </w:rPr>
            </w:pPr>
            <w:r>
              <w:rPr>
                <w:rFonts w:ascii="Arial" w:cs="Arial" w:eastAsia="Arial" w:hAnsi="Arial"/>
                <w:sz w:val="18"/>
                <w:szCs w:val="18"/>
                <w:color w:val="auto"/>
              </w:rPr>
              <w:t>*10.21</w:t>
            </w:r>
          </w:p>
        </w:tc>
        <w:tc>
          <w:tcPr>
            <w:tcW w:w="9980" w:type="dxa"/>
            <w:vAlign w:val="bottom"/>
            <w:tcBorders>
              <w:bottom w:val="single" w:sz="8" w:color="0000FF"/>
            </w:tcBorders>
            <w:gridSpan w:val="12"/>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Employment Agreement between Gentex Corporation and Fred Bauer filed as exhibit to Registrant's Report on Form 10-K</w:t>
              </w:r>
            </w:hyperlink>
          </w:p>
        </w:tc>
      </w:tr>
      <w:tr>
        <w:trPr>
          <w:trHeight w:val="183"/>
        </w:trPr>
        <w:tc>
          <w:tcPr>
            <w:tcW w:w="1380" w:type="dxa"/>
            <w:vAlign w:val="bottom"/>
          </w:tcPr>
          <w:p>
            <w:pPr>
              <w:spacing w:after="0"/>
              <w:rPr>
                <w:sz w:val="15"/>
                <w:szCs w:val="15"/>
                <w:color w:val="auto"/>
              </w:rPr>
            </w:pPr>
          </w:p>
        </w:tc>
        <w:tc>
          <w:tcPr>
            <w:tcW w:w="202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w:anchor="page78">
              <w:r>
                <w:rPr>
                  <w:rFonts w:ascii="Arial" w:cs="Arial" w:eastAsia="Arial" w:hAnsi="Arial"/>
                  <w:sz w:val="18"/>
                  <w:szCs w:val="18"/>
                  <w:color w:val="0000FF"/>
                  <w:w w:val="98"/>
                </w:rPr>
                <w:t>dated February 21, 2018.</w:t>
              </w:r>
            </w:hyperlink>
          </w:p>
        </w:tc>
        <w:tc>
          <w:tcPr>
            <w:tcW w:w="7960" w:type="dxa"/>
            <w:vAlign w:val="bottom"/>
            <w:gridSpan w:val="9"/>
          </w:tcPr>
          <w:p>
            <w:pPr>
              <w:spacing w:after="0"/>
              <w:rPr>
                <w:sz w:val="15"/>
                <w:szCs w:val="15"/>
                <w:color w:val="auto"/>
              </w:rPr>
            </w:pPr>
          </w:p>
        </w:tc>
      </w:tr>
      <w:tr>
        <w:trPr>
          <w:trHeight w:val="358"/>
        </w:trPr>
        <w:tc>
          <w:tcPr>
            <w:tcW w:w="1380" w:type="dxa"/>
            <w:vAlign w:val="bottom"/>
          </w:tcPr>
          <w:p>
            <w:pPr>
              <w:spacing w:after="0"/>
              <w:rPr>
                <w:sz w:val="20"/>
                <w:szCs w:val="20"/>
                <w:color w:val="auto"/>
              </w:rPr>
            </w:pPr>
            <w:r>
              <w:rPr>
                <w:rFonts w:ascii="Arial" w:cs="Arial" w:eastAsia="Arial" w:hAnsi="Arial"/>
                <w:sz w:val="18"/>
                <w:szCs w:val="18"/>
                <w:color w:val="auto"/>
              </w:rPr>
              <w:t>*10.22</w:t>
            </w:r>
          </w:p>
        </w:tc>
        <w:tc>
          <w:tcPr>
            <w:tcW w:w="9980" w:type="dxa"/>
            <w:vAlign w:val="bottom"/>
            <w:tcBorders>
              <w:bottom w:val="single" w:sz="8" w:color="0000FF"/>
            </w:tcBorders>
            <w:gridSpan w:val="12"/>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Stock Redemption Agreement between Gentex Corporation and Fred Bauer filed as exhibit to Registrant's Report on Form</w:t>
              </w:r>
            </w:hyperlink>
          </w:p>
        </w:tc>
      </w:tr>
      <w:tr>
        <w:trPr>
          <w:trHeight w:val="183"/>
        </w:trPr>
        <w:tc>
          <w:tcPr>
            <w:tcW w:w="1380" w:type="dxa"/>
            <w:vAlign w:val="bottom"/>
          </w:tcPr>
          <w:p>
            <w:pPr>
              <w:spacing w:after="0"/>
              <w:rPr>
                <w:sz w:val="15"/>
                <w:szCs w:val="15"/>
                <w:color w:val="auto"/>
              </w:rPr>
            </w:pPr>
          </w:p>
        </w:tc>
        <w:tc>
          <w:tcPr>
            <w:tcW w:w="9980" w:type="dxa"/>
            <w:vAlign w:val="bottom"/>
            <w:gridSpan w:val="12"/>
          </w:tcPr>
          <w:p>
            <w:pPr>
              <w:spacing w:after="0" w:line="182" w:lineRule="exact"/>
              <w:rPr>
                <w:rFonts w:ascii="Arial" w:cs="Arial" w:eastAsia="Arial" w:hAnsi="Arial"/>
                <w:sz w:val="18"/>
                <w:szCs w:val="18"/>
                <w:color w:val="0000FF"/>
              </w:rPr>
            </w:pPr>
            <w:hyperlink w:anchor="page82">
              <w:r>
                <w:rPr>
                  <w:rFonts w:ascii="Arial" w:cs="Arial" w:eastAsia="Arial" w:hAnsi="Arial"/>
                  <w:sz w:val="18"/>
                  <w:szCs w:val="18"/>
                  <w:color w:val="0000FF"/>
                </w:rPr>
                <w:t>10-K dated February 21, 2018.</w:t>
              </w:r>
            </w:hyperlink>
          </w:p>
        </w:tc>
      </w:tr>
      <w:tr>
        <w:trPr>
          <w:trHeight w:val="20"/>
        </w:trPr>
        <w:tc>
          <w:tcPr>
            <w:tcW w:w="13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85" w:hanging="1385"/>
        <w:spacing w:after="0"/>
        <w:tabs>
          <w:tab w:leader="none" w:pos="1385" w:val="left"/>
        </w:tabs>
        <w:numPr>
          <w:ilvl w:val="0"/>
          <w:numId w:val="42"/>
        </w:numPr>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List of Company Subsidiaries</w:t>
        </w:r>
      </w:hyperlink>
    </w:p>
    <w:p>
      <w:pPr>
        <w:spacing w:after="0" w:line="154"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380" w:type="dxa"/>
            <w:vAlign w:val="bottom"/>
          </w:tcPr>
          <w:p>
            <w:pPr>
              <w:jc w:val="right"/>
              <w:ind w:right="950"/>
              <w:spacing w:after="0"/>
              <w:rPr>
                <w:sz w:val="20"/>
                <w:szCs w:val="20"/>
                <w:color w:val="auto"/>
              </w:rPr>
            </w:pPr>
            <w:r>
              <w:rPr>
                <w:rFonts w:ascii="Arial" w:cs="Arial" w:eastAsia="Arial" w:hAnsi="Arial"/>
                <w:sz w:val="18"/>
                <w:szCs w:val="18"/>
                <w:color w:val="auto"/>
                <w:w w:val="91"/>
              </w:rPr>
              <w:t>23.1</w:t>
            </w:r>
          </w:p>
        </w:tc>
        <w:tc>
          <w:tcPr>
            <w:tcW w:w="9980" w:type="dxa"/>
            <w:vAlign w:val="bottom"/>
            <w:gridSpan w:val="4"/>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Consent of Independent Registered Public Accounting Firm</w:t>
              </w:r>
            </w:hyperlink>
          </w:p>
        </w:tc>
      </w:tr>
      <w:tr>
        <w:trPr>
          <w:trHeight w:val="20"/>
        </w:trPr>
        <w:tc>
          <w:tcPr>
            <w:tcW w:w="13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jc w:val="right"/>
              <w:ind w:right="950"/>
              <w:spacing w:after="0"/>
              <w:rPr>
                <w:sz w:val="20"/>
                <w:szCs w:val="20"/>
                <w:color w:val="auto"/>
              </w:rPr>
            </w:pPr>
            <w:r>
              <w:rPr>
                <w:rFonts w:ascii="Arial" w:cs="Arial" w:eastAsia="Arial" w:hAnsi="Arial"/>
                <w:sz w:val="18"/>
                <w:szCs w:val="18"/>
                <w:color w:val="auto"/>
                <w:w w:val="91"/>
              </w:rPr>
              <w:t>31.1</w:t>
            </w:r>
          </w:p>
        </w:tc>
        <w:tc>
          <w:tcPr>
            <w:tcW w:w="9980" w:type="dxa"/>
            <w:vAlign w:val="bottom"/>
            <w:tcBorders>
              <w:bottom w:val="single" w:sz="8" w:color="0000FF"/>
            </w:tcBorders>
            <w:gridSpan w:val="4"/>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83"/>
        </w:trPr>
        <w:tc>
          <w:tcPr>
            <w:tcW w:w="1380" w:type="dxa"/>
            <w:vAlign w:val="bottom"/>
          </w:tcPr>
          <w:p>
            <w:pPr>
              <w:spacing w:after="0"/>
              <w:rPr>
                <w:sz w:val="15"/>
                <w:szCs w:val="15"/>
                <w:color w:val="auto"/>
              </w:rPr>
            </w:pPr>
          </w:p>
        </w:tc>
        <w:tc>
          <w:tcPr>
            <w:tcW w:w="1400" w:type="dxa"/>
            <w:vAlign w:val="bottom"/>
            <w:tcBorders>
              <w:bottom w:val="single" w:sz="8" w:color="0000FF"/>
            </w:tcBorders>
          </w:tcPr>
          <w:p>
            <w:pPr>
              <w:spacing w:after="0" w:line="182" w:lineRule="exact"/>
              <w:rPr>
                <w:rFonts w:ascii="Arial" w:cs="Arial" w:eastAsia="Arial" w:hAnsi="Arial"/>
                <w:sz w:val="18"/>
                <w:szCs w:val="18"/>
                <w:color w:val="0000FF"/>
                <w:w w:val="98"/>
              </w:rPr>
            </w:pPr>
            <w:hyperlink w:anchor="page88">
              <w:r>
                <w:rPr>
                  <w:rFonts w:ascii="Arial" w:cs="Arial" w:eastAsia="Arial" w:hAnsi="Arial"/>
                  <w:sz w:val="18"/>
                  <w:szCs w:val="18"/>
                  <w:color w:val="0000FF"/>
                  <w:w w:val="98"/>
                </w:rPr>
                <w:t>(18 U.S.C. 1350).</w:t>
              </w:r>
            </w:hyperlink>
          </w:p>
        </w:tc>
        <w:tc>
          <w:tcPr>
            <w:tcW w:w="8580" w:type="dxa"/>
            <w:vAlign w:val="bottom"/>
            <w:gridSpan w:val="3"/>
          </w:tcPr>
          <w:p>
            <w:pPr>
              <w:spacing w:after="0"/>
              <w:rPr>
                <w:sz w:val="15"/>
                <w:szCs w:val="15"/>
                <w:color w:val="auto"/>
              </w:rPr>
            </w:pPr>
          </w:p>
        </w:tc>
      </w:tr>
      <w:tr>
        <w:trPr>
          <w:trHeight w:val="358"/>
        </w:trPr>
        <w:tc>
          <w:tcPr>
            <w:tcW w:w="1380" w:type="dxa"/>
            <w:vAlign w:val="bottom"/>
          </w:tcPr>
          <w:p>
            <w:pPr>
              <w:jc w:val="right"/>
              <w:ind w:right="950"/>
              <w:spacing w:after="0"/>
              <w:rPr>
                <w:sz w:val="20"/>
                <w:szCs w:val="20"/>
                <w:color w:val="auto"/>
              </w:rPr>
            </w:pPr>
            <w:r>
              <w:rPr>
                <w:rFonts w:ascii="Arial" w:cs="Arial" w:eastAsia="Arial" w:hAnsi="Arial"/>
                <w:sz w:val="18"/>
                <w:szCs w:val="18"/>
                <w:color w:val="auto"/>
                <w:w w:val="91"/>
              </w:rPr>
              <w:t>31.2</w:t>
            </w:r>
          </w:p>
        </w:tc>
        <w:tc>
          <w:tcPr>
            <w:tcW w:w="9980" w:type="dxa"/>
            <w:vAlign w:val="bottom"/>
            <w:gridSpan w:val="4"/>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Certificate of the Chief Financial Officer of Gentex Corporation pursuant to Section 302 of the Sarbanes-Oxley Act of 2002</w:t>
              </w:r>
            </w:hyperlink>
          </w:p>
        </w:tc>
      </w:tr>
      <w:tr>
        <w:trPr>
          <w:trHeight w:val="183"/>
        </w:trPr>
        <w:tc>
          <w:tcPr>
            <w:tcW w:w="1380" w:type="dxa"/>
            <w:vAlign w:val="bottom"/>
          </w:tcPr>
          <w:p>
            <w:pPr>
              <w:spacing w:after="0"/>
              <w:rPr>
                <w:sz w:val="15"/>
                <w:szCs w:val="15"/>
                <w:color w:val="auto"/>
              </w:rPr>
            </w:pPr>
          </w:p>
        </w:tc>
        <w:tc>
          <w:tcPr>
            <w:tcW w:w="14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w:anchor="page89">
              <w:r>
                <w:rPr>
                  <w:rFonts w:ascii="Arial" w:cs="Arial" w:eastAsia="Arial" w:hAnsi="Arial"/>
                  <w:sz w:val="18"/>
                  <w:szCs w:val="18"/>
                  <w:color w:val="0000FF"/>
                  <w:w w:val="98"/>
                </w:rPr>
                <w:t>(18 U.S.C. 1350).</w:t>
              </w:r>
            </w:hyperlink>
          </w:p>
        </w:tc>
        <w:tc>
          <w:tcPr>
            <w:tcW w:w="856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bl>
    <w:p>
      <w:pPr>
        <w:spacing w:after="0" w:line="188" w:lineRule="exact"/>
        <w:rPr>
          <w:sz w:val="20"/>
          <w:szCs w:val="20"/>
          <w:color w:val="auto"/>
        </w:rPr>
      </w:pPr>
    </w:p>
    <w:p>
      <w:pPr>
        <w:ind w:left="1385" w:hanging="1385"/>
        <w:spacing w:after="0" w:line="246" w:lineRule="auto"/>
        <w:tabs>
          <w:tab w:leader="none" w:pos="1385" w:val="left"/>
        </w:tabs>
        <w:numPr>
          <w:ilvl w:val="0"/>
          <w:numId w:val="43"/>
        </w:numPr>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90">
        <w:r>
          <w:rPr>
            <w:rFonts w:ascii="Arial" w:cs="Arial" w:eastAsia="Arial" w:hAnsi="Arial"/>
            <w:sz w:val="18"/>
            <w:szCs w:val="18"/>
            <w:u w:val="single" w:color="auto"/>
            <w:color w:val="0000FF"/>
          </w:rPr>
          <w:t>Sarbanes-Oxley Act of 2002 (18 U.S.C. § 1350).</w:t>
        </w:r>
      </w:hyperlink>
    </w:p>
    <w:p>
      <w:pPr>
        <w:spacing w:after="0" w:line="35" w:lineRule="exact"/>
        <w:rPr>
          <w:rFonts w:ascii="Arial" w:cs="Arial" w:eastAsia="Arial" w:hAnsi="Arial"/>
          <w:sz w:val="18"/>
          <w:szCs w:val="18"/>
          <w:color w:val="auto"/>
        </w:rPr>
      </w:pPr>
    </w:p>
    <w:tbl>
      <w:tblPr>
        <w:tblLayout w:type="fixed"/>
        <w:tblInd w:w="5" w:type="dxa"/>
        <w:tblCellMar>
          <w:top w:w="0" w:type="dxa"/>
          <w:left w:w="0" w:type="dxa"/>
          <w:bottom w:w="0" w:type="dxa"/>
          <w:right w:w="0" w:type="dxa"/>
        </w:tblCellMar>
      </w:tblPr>
      <w:tr>
        <w:trPr>
          <w:trHeight w:val="217"/>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34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340" w:type="dxa"/>
            <w:vAlign w:val="bottom"/>
          </w:tcPr>
          <w:p>
            <w:pPr>
              <w:ind w:left="34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34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34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340" w:type="dxa"/>
            <w:vAlign w:val="bottom"/>
          </w:tcPr>
          <w:p>
            <w:pPr>
              <w:ind w:left="34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340" w:type="dxa"/>
            <w:vAlign w:val="bottom"/>
          </w:tcPr>
          <w:p>
            <w:pPr>
              <w:ind w:left="340"/>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229" w:lineRule="exact"/>
        <w:rPr>
          <w:rFonts w:ascii="Arial" w:cs="Arial" w:eastAsia="Arial" w:hAnsi="Arial"/>
          <w:sz w:val="18"/>
          <w:szCs w:val="18"/>
          <w:color w:val="auto"/>
        </w:rPr>
      </w:pPr>
    </w:p>
    <w:p>
      <w:pPr>
        <w:ind w:left="5"/>
        <w:spacing w:after="0"/>
        <w:rPr>
          <w:sz w:val="20"/>
          <w:szCs w:val="20"/>
          <w:color w:val="auto"/>
        </w:rPr>
      </w:pPr>
      <w:r>
        <w:rPr>
          <w:rFonts w:ascii="Arial" w:cs="Arial" w:eastAsia="Arial" w:hAnsi="Arial"/>
          <w:sz w:val="18"/>
          <w:szCs w:val="18"/>
          <w:color w:val="auto"/>
        </w:rPr>
        <w:t>*Indicates a compensatory plan or arrangement.</w:t>
      </w:r>
    </w:p>
    <w:p>
      <w:pPr>
        <w:sectPr>
          <w:pgSz w:w="11900" w:h="16838" w:orient="portrait"/>
          <w:cols w:equalWidth="0" w:num="1">
            <w:col w:w="11365"/>
          </w:cols>
          <w:pgMar w:left="275" w:top="729" w:right="259" w:bottom="1440" w:gutter="0" w:footer="0" w:header="0"/>
        </w:sectPr>
      </w:pPr>
    </w:p>
    <w:p>
      <w:pPr>
        <w:spacing w:after="0" w:line="266" w:lineRule="exact"/>
        <w:rPr>
          <w:rFonts w:ascii="Arial" w:cs="Arial" w:eastAsia="Arial" w:hAnsi="Arial"/>
          <w:sz w:val="18"/>
          <w:szCs w:val="18"/>
          <w:color w:val="auto"/>
        </w:rPr>
      </w:pPr>
    </w:p>
    <w:p>
      <w:pPr>
        <w:jc w:val="center"/>
        <w:ind w:right="-4"/>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365"/>
          </w:cols>
          <w:pgMar w:left="275" w:top="729" w:right="259" w:bottom="1440" w:gutter="0" w:footer="0" w:header="0"/>
          <w:type w:val="continuous"/>
        </w:sectPr>
      </w:pPr>
    </w:p>
    <w:bookmarkStart w:id="69" w:name="page70"/>
    <w:bookmarkEnd w:id="69"/>
    <w:p>
      <w:pPr>
        <w:ind w:left="3564"/>
        <w:spacing w:after="0"/>
        <w:rPr>
          <w:sz w:val="20"/>
          <w:szCs w:val="20"/>
          <w:color w:val="auto"/>
        </w:rPr>
      </w:pPr>
      <w:r>
        <w:rPr>
          <w:rFonts w:ascii="Arial" w:cs="Arial" w:eastAsia="Arial" w:hAnsi="Arial"/>
          <w:sz w:val="22"/>
          <w:szCs w:val="22"/>
          <w:b w:val="1"/>
          <w:bCs w:val="1"/>
          <w:color w:val="auto"/>
        </w:rPr>
        <w:t>AMENDED AND RESTATED</w:t>
      </w:r>
    </w:p>
    <w:p>
      <w:pPr>
        <w:spacing w:after="0" w:line="28"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ANNUAL INCENTIVE PERFORMANCE-BASED BONUS PLAN</w:t>
      </w:r>
    </w:p>
    <w:p>
      <w:pPr>
        <w:spacing w:after="0" w:line="4"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(As Adopted on February 18, 2016, and Amended on February 15, 2018)</w:t>
      </w:r>
    </w:p>
    <w:p>
      <w:pPr>
        <w:spacing w:after="0" w:line="200" w:lineRule="exact"/>
        <w:rPr>
          <w:sz w:val="20"/>
          <w:szCs w:val="20"/>
          <w:color w:val="auto"/>
        </w:rPr>
      </w:pPr>
    </w:p>
    <w:p>
      <w:pPr>
        <w:spacing w:after="0" w:line="293" w:lineRule="exact"/>
        <w:rPr>
          <w:sz w:val="20"/>
          <w:szCs w:val="20"/>
          <w:color w:val="auto"/>
        </w:rPr>
      </w:pPr>
    </w:p>
    <w:p>
      <w:pPr>
        <w:jc w:val="both"/>
        <w:ind w:left="-656" w:firstLine="656"/>
        <w:spacing w:after="0" w:line="252" w:lineRule="auto"/>
        <w:tabs>
          <w:tab w:leader="none" w:pos="519"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b w:val="1"/>
          <w:bCs w:val="1"/>
          <w:color w:val="auto"/>
        </w:rPr>
        <w:t xml:space="preserve">. </w:t>
      </w:r>
      <w:r>
        <w:rPr>
          <w:rFonts w:ascii="Arial" w:cs="Arial" w:eastAsia="Arial" w:hAnsi="Arial"/>
          <w:sz w:val="22"/>
          <w:szCs w:val="22"/>
          <w:color w:val="auto"/>
        </w:rPr>
        <w:t>The purpose of the Gentex Corporation Annual Incentive Performance-Based Bonus Plan is to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emphasize performance-based compensation that increasingly provides the executive officers other officers, and/or certain other key employees of the Corporation with appropriate incentives concerning corporate and individual performance, enhancing the alignment between such key employees and shareholders.</w:t>
      </w:r>
    </w:p>
    <w:p>
      <w:pPr>
        <w:spacing w:after="0" w:line="220" w:lineRule="exact"/>
        <w:rPr>
          <w:rFonts w:ascii="Arial" w:cs="Arial" w:eastAsia="Arial" w:hAnsi="Arial"/>
          <w:sz w:val="22"/>
          <w:szCs w:val="22"/>
          <w:color w:val="auto"/>
        </w:rPr>
      </w:pPr>
    </w:p>
    <w:p>
      <w:pPr>
        <w:ind w:left="384" w:hanging="384"/>
        <w:spacing w:after="0"/>
        <w:tabs>
          <w:tab w:leader="none" w:pos="384"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terms are defined for use herein as follows:</w:t>
      </w:r>
    </w:p>
    <w:p>
      <w:pPr>
        <w:spacing w:after="0" w:line="266" w:lineRule="exact"/>
        <w:rPr>
          <w:rFonts w:ascii="Arial" w:cs="Arial" w:eastAsia="Arial" w:hAnsi="Arial"/>
          <w:sz w:val="22"/>
          <w:szCs w:val="22"/>
          <w:color w:val="auto"/>
        </w:rPr>
      </w:pPr>
    </w:p>
    <w:p>
      <w:pPr>
        <w:ind w:left="1024" w:hanging="375"/>
        <w:spacing w:after="0"/>
        <w:tabs>
          <w:tab w:leader="none" w:pos="1024" w:val="left"/>
        </w:tabs>
        <w:numPr>
          <w:ilvl w:val="1"/>
          <w:numId w:val="44"/>
        </w:numPr>
        <w:rPr>
          <w:rFonts w:ascii="Arial" w:cs="Arial" w:eastAsia="Arial" w:hAnsi="Arial"/>
          <w:sz w:val="22"/>
          <w:szCs w:val="22"/>
          <w:color w:val="auto"/>
        </w:rPr>
      </w:pPr>
      <w:r>
        <w:rPr>
          <w:rFonts w:ascii="Arial" w:cs="Arial" w:eastAsia="Arial" w:hAnsi="Arial"/>
          <w:sz w:val="22"/>
          <w:szCs w:val="22"/>
          <w:color w:val="auto"/>
        </w:rPr>
        <w:t>"Board" means the Board of Directors of the Corporation.</w:t>
      </w:r>
    </w:p>
    <w:p>
      <w:pPr>
        <w:spacing w:after="0" w:line="260" w:lineRule="exact"/>
        <w:rPr>
          <w:rFonts w:ascii="Arial" w:cs="Arial" w:eastAsia="Arial" w:hAnsi="Arial"/>
          <w:sz w:val="22"/>
          <w:szCs w:val="22"/>
          <w:color w:val="auto"/>
        </w:rPr>
      </w:pPr>
    </w:p>
    <w:p>
      <w:pPr>
        <w:ind w:left="1024" w:hanging="375"/>
        <w:spacing w:after="0"/>
        <w:tabs>
          <w:tab w:leader="none" w:pos="1024" w:val="left"/>
        </w:tabs>
        <w:numPr>
          <w:ilvl w:val="1"/>
          <w:numId w:val="44"/>
        </w:numPr>
        <w:rPr>
          <w:rFonts w:ascii="Arial" w:cs="Arial" w:eastAsia="Arial" w:hAnsi="Arial"/>
          <w:sz w:val="22"/>
          <w:szCs w:val="22"/>
          <w:color w:val="auto"/>
        </w:rPr>
      </w:pPr>
      <w:r>
        <w:rPr>
          <w:rFonts w:ascii="Arial" w:cs="Arial" w:eastAsia="Arial" w:hAnsi="Arial"/>
          <w:sz w:val="22"/>
          <w:szCs w:val="22"/>
          <w:color w:val="auto"/>
        </w:rPr>
        <w:t>"Committee" means the Compensation Committee of the Board.</w:t>
      </w:r>
    </w:p>
    <w:p>
      <w:pPr>
        <w:spacing w:after="0" w:line="260" w:lineRule="exact"/>
        <w:rPr>
          <w:rFonts w:ascii="Arial" w:cs="Arial" w:eastAsia="Arial" w:hAnsi="Arial"/>
          <w:sz w:val="22"/>
          <w:szCs w:val="22"/>
          <w:color w:val="auto"/>
        </w:rPr>
      </w:pPr>
    </w:p>
    <w:p>
      <w:pPr>
        <w:ind w:left="1024" w:hanging="375"/>
        <w:spacing w:after="0"/>
        <w:tabs>
          <w:tab w:leader="none" w:pos="1024" w:val="left"/>
        </w:tabs>
        <w:numPr>
          <w:ilvl w:val="1"/>
          <w:numId w:val="44"/>
        </w:numPr>
        <w:rPr>
          <w:rFonts w:ascii="Arial" w:cs="Arial" w:eastAsia="Arial" w:hAnsi="Arial"/>
          <w:sz w:val="22"/>
          <w:szCs w:val="22"/>
          <w:color w:val="auto"/>
        </w:rPr>
      </w:pPr>
      <w:r>
        <w:rPr>
          <w:rFonts w:ascii="Arial" w:cs="Arial" w:eastAsia="Arial" w:hAnsi="Arial"/>
          <w:sz w:val="22"/>
          <w:szCs w:val="22"/>
          <w:color w:val="auto"/>
        </w:rPr>
        <w:t>"Corporation" means Gentex Corporation.</w:t>
      </w:r>
    </w:p>
    <w:p>
      <w:pPr>
        <w:spacing w:after="0" w:line="260" w:lineRule="exact"/>
        <w:rPr>
          <w:rFonts w:ascii="Arial" w:cs="Arial" w:eastAsia="Arial" w:hAnsi="Arial"/>
          <w:sz w:val="22"/>
          <w:szCs w:val="22"/>
          <w:color w:val="auto"/>
        </w:rPr>
      </w:pPr>
    </w:p>
    <w:p>
      <w:pPr>
        <w:ind w:left="984" w:hanging="335"/>
        <w:spacing w:after="0"/>
        <w:tabs>
          <w:tab w:leader="none" w:pos="984" w:val="left"/>
        </w:tabs>
        <w:numPr>
          <w:ilvl w:val="1"/>
          <w:numId w:val="44"/>
        </w:numPr>
        <w:rPr>
          <w:rFonts w:ascii="Arial" w:cs="Arial" w:eastAsia="Arial" w:hAnsi="Arial"/>
          <w:sz w:val="22"/>
          <w:szCs w:val="22"/>
          <w:color w:val="auto"/>
        </w:rPr>
      </w:pPr>
      <w:r>
        <w:rPr>
          <w:rFonts w:ascii="Arial" w:cs="Arial" w:eastAsia="Arial" w:hAnsi="Arial"/>
          <w:sz w:val="22"/>
          <w:szCs w:val="22"/>
          <w:color w:val="auto"/>
        </w:rPr>
        <w:t>"Plan" means this Annual Incentive Performance-Based Bonus Plan as in effect from time to time.</w:t>
      </w:r>
    </w:p>
    <w:p>
      <w:pPr>
        <w:spacing w:after="0" w:line="233" w:lineRule="exact"/>
        <w:rPr>
          <w:rFonts w:ascii="Arial" w:cs="Arial" w:eastAsia="Arial" w:hAnsi="Arial"/>
          <w:sz w:val="22"/>
          <w:szCs w:val="22"/>
          <w:color w:val="auto"/>
        </w:rPr>
      </w:pPr>
    </w:p>
    <w:p>
      <w:pPr>
        <w:ind w:left="984" w:hanging="335"/>
        <w:spacing w:after="0"/>
        <w:tabs>
          <w:tab w:leader="none" w:pos="984" w:val="left"/>
        </w:tabs>
        <w:numPr>
          <w:ilvl w:val="1"/>
          <w:numId w:val="44"/>
        </w:numPr>
        <w:rPr>
          <w:rFonts w:ascii="Arial" w:cs="Arial" w:eastAsia="Arial" w:hAnsi="Arial"/>
          <w:sz w:val="19"/>
          <w:szCs w:val="19"/>
          <w:color w:val="auto"/>
        </w:rPr>
      </w:pPr>
      <w:r>
        <w:rPr>
          <w:rFonts w:ascii="Arial" w:cs="Arial" w:eastAsia="Arial" w:hAnsi="Arial"/>
          <w:sz w:val="19"/>
          <w:szCs w:val="19"/>
          <w:color w:val="auto"/>
        </w:rPr>
        <w:t>"Participant" means an employee eligible to participate in the Plan under the terms and conditions of the Plan.</w:t>
      </w:r>
    </w:p>
    <w:p>
      <w:pPr>
        <w:spacing w:after="0" w:line="200" w:lineRule="exact"/>
        <w:rPr>
          <w:rFonts w:ascii="Arial" w:cs="Arial" w:eastAsia="Arial" w:hAnsi="Arial"/>
          <w:sz w:val="19"/>
          <w:szCs w:val="19"/>
          <w:color w:val="auto"/>
        </w:rPr>
      </w:pPr>
    </w:p>
    <w:p>
      <w:pPr>
        <w:spacing w:after="0" w:line="358" w:lineRule="exact"/>
        <w:rPr>
          <w:rFonts w:ascii="Arial" w:cs="Arial" w:eastAsia="Arial" w:hAnsi="Arial"/>
          <w:sz w:val="19"/>
          <w:szCs w:val="19"/>
          <w:color w:val="auto"/>
        </w:rPr>
      </w:pPr>
    </w:p>
    <w:p>
      <w:pPr>
        <w:ind w:left="384" w:hanging="384"/>
        <w:spacing w:after="0"/>
        <w:tabs>
          <w:tab w:leader="none" w:pos="384"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b w:val="1"/>
          <w:bCs w:val="1"/>
          <w:color w:val="auto"/>
        </w:rPr>
        <w:t>.</w:t>
      </w:r>
    </w:p>
    <w:p>
      <w:pPr>
        <w:spacing w:after="0" w:line="266" w:lineRule="exact"/>
        <w:rPr>
          <w:rFonts w:ascii="Arial" w:cs="Arial" w:eastAsia="Arial" w:hAnsi="Arial"/>
          <w:sz w:val="22"/>
          <w:szCs w:val="22"/>
          <w:color w:val="auto"/>
        </w:rPr>
      </w:pPr>
    </w:p>
    <w:p>
      <w:pPr>
        <w:jc w:val="both"/>
        <w:ind w:left="4" w:firstLine="645"/>
        <w:spacing w:after="0" w:line="265" w:lineRule="auto"/>
        <w:tabs>
          <w:tab w:leader="none" w:pos="1190"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Plan shall be administered by the Committee. The Committee shall, in its discretion, determine the employees to participate in this Plan. The Committee shall have full power and authority to interpret the provisions of the Plan, to supervise the administration of the Plan, and to adopt forms and procedures for the administration of the Plan. All determinations made by the Committee with respect to the Plan shall be final and conclusive.</w:t>
      </w:r>
    </w:p>
    <w:p>
      <w:pPr>
        <w:spacing w:after="0" w:line="216" w:lineRule="exact"/>
        <w:rPr>
          <w:rFonts w:ascii="Arial" w:cs="Arial" w:eastAsia="Arial" w:hAnsi="Arial"/>
          <w:sz w:val="21"/>
          <w:szCs w:val="21"/>
          <w:color w:val="auto"/>
        </w:rPr>
      </w:pPr>
    </w:p>
    <w:p>
      <w:pPr>
        <w:ind w:left="4" w:firstLine="645"/>
        <w:spacing w:after="0" w:line="263" w:lineRule="auto"/>
        <w:tabs>
          <w:tab w:leader="none" w:pos="1030" w:val="left"/>
        </w:tabs>
        <w:numPr>
          <w:ilvl w:val="1"/>
          <w:numId w:val="44"/>
        </w:numPr>
        <w:rPr>
          <w:rFonts w:ascii="Arial" w:cs="Arial" w:eastAsia="Arial" w:hAnsi="Arial"/>
          <w:sz w:val="22"/>
          <w:szCs w:val="22"/>
          <w:color w:val="auto"/>
        </w:rPr>
      </w:pPr>
      <w:r>
        <w:rPr>
          <w:rFonts w:ascii="Arial" w:cs="Arial" w:eastAsia="Arial" w:hAnsi="Arial"/>
          <w:sz w:val="22"/>
          <w:szCs w:val="22"/>
          <w:color w:val="auto"/>
        </w:rPr>
        <w:t>Participation in this Plan shall be entirely within the discretion of the Committee. Nothing herein contained shall be construed to give any employee any right to employment or to participate in this Plan.</w:t>
      </w:r>
    </w:p>
    <w:p>
      <w:pPr>
        <w:spacing w:after="0" w:line="209" w:lineRule="exact"/>
        <w:rPr>
          <w:rFonts w:ascii="Arial" w:cs="Arial" w:eastAsia="Arial" w:hAnsi="Arial"/>
          <w:sz w:val="22"/>
          <w:szCs w:val="22"/>
          <w:color w:val="auto"/>
        </w:rPr>
      </w:pPr>
    </w:p>
    <w:p>
      <w:pPr>
        <w:ind w:left="384" w:hanging="384"/>
        <w:spacing w:after="0"/>
        <w:tabs>
          <w:tab w:leader="none" w:pos="384"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Eligibility</w:t>
      </w:r>
      <w:r>
        <w:rPr>
          <w:rFonts w:ascii="Arial" w:cs="Arial" w:eastAsia="Arial" w:hAnsi="Arial"/>
          <w:sz w:val="22"/>
          <w:szCs w:val="22"/>
          <w:b w:val="1"/>
          <w:bCs w:val="1"/>
          <w:color w:val="auto"/>
        </w:rPr>
        <w:t xml:space="preserve">. </w:t>
      </w:r>
      <w:r>
        <w:rPr>
          <w:rFonts w:ascii="Arial" w:cs="Arial" w:eastAsia="Arial" w:hAnsi="Arial"/>
          <w:sz w:val="22"/>
          <w:szCs w:val="22"/>
          <w:color w:val="auto"/>
        </w:rPr>
        <w:t>Only employees of the Corporation shall be eligible to participate in the Plan.</w:t>
      </w:r>
    </w:p>
    <w:p>
      <w:pPr>
        <w:spacing w:after="0" w:line="260" w:lineRule="exact"/>
        <w:rPr>
          <w:rFonts w:ascii="Arial" w:cs="Arial" w:eastAsia="Arial" w:hAnsi="Arial"/>
          <w:sz w:val="22"/>
          <w:szCs w:val="22"/>
          <w:color w:val="auto"/>
        </w:rPr>
      </w:pPr>
    </w:p>
    <w:p>
      <w:pPr>
        <w:ind w:left="424" w:hanging="424"/>
        <w:spacing w:after="0"/>
        <w:tabs>
          <w:tab w:leader="none" w:pos="424"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Terms of Participation</w:t>
      </w:r>
      <w:r>
        <w:rPr>
          <w:rFonts w:ascii="Arial" w:cs="Arial" w:eastAsia="Arial" w:hAnsi="Arial"/>
          <w:sz w:val="22"/>
          <w:szCs w:val="22"/>
          <w:b w:val="1"/>
          <w:bCs w:val="1"/>
          <w:color w:val="auto"/>
        </w:rPr>
        <w:t>.</w:t>
      </w:r>
    </w:p>
    <w:p>
      <w:pPr>
        <w:sectPr>
          <w:pgSz w:w="11900" w:h="16838" w:orient="portrait"/>
          <w:cols w:equalWidth="0" w:num="1">
            <w:col w:w="10764"/>
          </w:cols>
          <w:pgMar w:left="896" w:top="1057" w:right="239" w:bottom="1440" w:gutter="0" w:footer="0" w:header="0"/>
        </w:sectPr>
      </w:pPr>
    </w:p>
    <w:bookmarkStart w:id="70" w:name="page71"/>
    <w:bookmarkEnd w:id="70"/>
    <w:p>
      <w:pPr>
        <w:ind w:firstLine="645"/>
        <w:spacing w:after="0" w:line="269" w:lineRule="auto"/>
        <w:tabs>
          <w:tab w:leader="none" w:pos="1122"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w:t>
      </w:r>
      <w:r>
        <w:rPr>
          <w:rFonts w:ascii="Arial" w:cs="Arial" w:eastAsia="Arial" w:hAnsi="Arial"/>
          <w:sz w:val="22"/>
          <w:szCs w:val="22"/>
          <w:b w:val="1"/>
          <w:bCs w:val="1"/>
          <w:color w:val="auto"/>
        </w:rPr>
        <w:t xml:space="preserve">. </w:t>
      </w:r>
      <w:r>
        <w:rPr>
          <w:rFonts w:ascii="Arial" w:cs="Arial" w:eastAsia="Arial" w:hAnsi="Arial"/>
          <w:sz w:val="22"/>
          <w:szCs w:val="22"/>
          <w:color w:val="auto"/>
        </w:rPr>
        <w:t>Any executive officer, officer, or other key employee designated by the Committee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to participate in the Plan.</w:t>
      </w:r>
    </w:p>
    <w:p>
      <w:pPr>
        <w:spacing w:after="0" w:line="202" w:lineRule="exact"/>
        <w:rPr>
          <w:rFonts w:ascii="Arial" w:cs="Arial" w:eastAsia="Arial" w:hAnsi="Arial"/>
          <w:sz w:val="22"/>
          <w:szCs w:val="22"/>
          <w:color w:val="auto"/>
        </w:rPr>
      </w:pPr>
    </w:p>
    <w:p>
      <w:pPr>
        <w:ind w:left="1020" w:hanging="375"/>
        <w:spacing w:after="0"/>
        <w:tabs>
          <w:tab w:leader="none" w:pos="1020"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Elements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performance-based pay elements shall apply to Participants in the Plan:</w:t>
      </w:r>
    </w:p>
    <w:p>
      <w:pPr>
        <w:spacing w:after="0" w:line="260" w:lineRule="exact"/>
        <w:rPr>
          <w:sz w:val="20"/>
          <w:szCs w:val="20"/>
          <w:color w:val="auto"/>
        </w:rPr>
      </w:pPr>
    </w:p>
    <w:p>
      <w:pPr>
        <w:ind w:right="200" w:firstLine="1293"/>
        <w:spacing w:after="0" w:line="282" w:lineRule="auto"/>
        <w:tabs>
          <w:tab w:leader="none" w:pos="1680" w:val="left"/>
        </w:tabs>
        <w:numPr>
          <w:ilvl w:val="1"/>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Profit-Sharing Bonus - </w:t>
      </w:r>
      <w:r>
        <w:rPr>
          <w:rFonts w:ascii="Arial" w:cs="Arial" w:eastAsia="Arial" w:hAnsi="Arial"/>
          <w:sz w:val="22"/>
          <w:szCs w:val="22"/>
          <w:color w:val="auto"/>
        </w:rPr>
        <w:t>In lieu of participation in the Profit Sharing Bonus Plan of the Corporation (in</w:t>
      </w:r>
      <w:r>
        <w:rPr>
          <w:rFonts w:ascii="Arial" w:cs="Arial" w:eastAsia="Arial" w:hAnsi="Arial"/>
          <w:sz w:val="22"/>
          <w:szCs w:val="22"/>
          <w:b w:val="1"/>
          <w:bCs w:val="1"/>
          <w:color w:val="auto"/>
        </w:rPr>
        <w:t xml:space="preserve"> </w:t>
      </w:r>
      <w:r>
        <w:rPr>
          <w:rFonts w:ascii="Arial" w:cs="Arial" w:eastAsia="Arial" w:hAnsi="Arial"/>
          <w:sz w:val="22"/>
          <w:szCs w:val="22"/>
          <w:color w:val="auto"/>
        </w:rPr>
        <w:t>which all employees participate), Participants shall be eligible to participate in this Plan.</w:t>
      </w:r>
    </w:p>
    <w:p>
      <w:pPr>
        <w:spacing w:after="0" w:line="188" w:lineRule="exact"/>
        <w:rPr>
          <w:rFonts w:ascii="Arial" w:cs="Arial" w:eastAsia="Arial" w:hAnsi="Arial"/>
          <w:sz w:val="22"/>
          <w:szCs w:val="22"/>
          <w:color w:val="auto"/>
        </w:rPr>
      </w:pPr>
    </w:p>
    <w:p>
      <w:pPr>
        <w:ind w:firstLine="645"/>
        <w:spacing w:after="0" w:line="269" w:lineRule="auto"/>
        <w:tabs>
          <w:tab w:leader="none" w:pos="1372"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Performance Bonus – </w:t>
      </w:r>
      <w:r>
        <w:rPr>
          <w:rFonts w:ascii="Arial" w:cs="Arial" w:eastAsia="Arial" w:hAnsi="Arial"/>
          <w:sz w:val="22"/>
          <w:szCs w:val="22"/>
          <w:color w:val="auto"/>
        </w:rPr>
        <w:t>Annual performance bonuses shall be available to Participants based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achievement of the following performance metrics:</w:t>
      </w:r>
    </w:p>
    <w:p>
      <w:pPr>
        <w:spacing w:after="0" w:line="208" w:lineRule="exact"/>
        <w:rPr>
          <w:rFonts w:ascii="Arial" w:cs="Arial" w:eastAsia="Arial" w:hAnsi="Arial"/>
          <w:sz w:val="22"/>
          <w:szCs w:val="22"/>
          <w:color w:val="auto"/>
        </w:rPr>
      </w:pPr>
    </w:p>
    <w:p>
      <w:pPr>
        <w:ind w:left="2400" w:hanging="459"/>
        <w:spacing w:after="0"/>
        <w:tabs>
          <w:tab w:leader="none" w:pos="2400" w:val="left"/>
        </w:tabs>
        <w:numPr>
          <w:ilvl w:val="2"/>
          <w:numId w:val="47"/>
        </w:numPr>
        <w:rPr>
          <w:rFonts w:ascii="Arial" w:cs="Arial" w:eastAsia="Arial" w:hAnsi="Arial"/>
          <w:sz w:val="22"/>
          <w:szCs w:val="22"/>
          <w:color w:val="auto"/>
        </w:rPr>
      </w:pPr>
      <w:r>
        <w:rPr>
          <w:rFonts w:ascii="Arial" w:cs="Arial" w:eastAsia="Arial" w:hAnsi="Arial"/>
          <w:sz w:val="22"/>
          <w:szCs w:val="22"/>
          <w:color w:val="auto"/>
        </w:rPr>
        <w:t>Revenue, which will have a 33.33% weighting;</w:t>
      </w:r>
    </w:p>
    <w:p>
      <w:pPr>
        <w:spacing w:after="0" w:line="260" w:lineRule="exact"/>
        <w:rPr>
          <w:rFonts w:ascii="Arial" w:cs="Arial" w:eastAsia="Arial" w:hAnsi="Arial"/>
          <w:sz w:val="22"/>
          <w:szCs w:val="22"/>
          <w:color w:val="auto"/>
        </w:rPr>
      </w:pPr>
    </w:p>
    <w:p>
      <w:pPr>
        <w:ind w:left="2400" w:hanging="459"/>
        <w:spacing w:after="0"/>
        <w:tabs>
          <w:tab w:leader="none" w:pos="2400" w:val="left"/>
        </w:tabs>
        <w:numPr>
          <w:ilvl w:val="2"/>
          <w:numId w:val="47"/>
        </w:numPr>
        <w:rPr>
          <w:rFonts w:ascii="Arial" w:cs="Arial" w:eastAsia="Arial" w:hAnsi="Arial"/>
          <w:sz w:val="22"/>
          <w:szCs w:val="22"/>
          <w:color w:val="auto"/>
        </w:rPr>
      </w:pPr>
      <w:r>
        <w:rPr>
          <w:rFonts w:ascii="Arial" w:cs="Arial" w:eastAsia="Arial" w:hAnsi="Arial"/>
          <w:sz w:val="22"/>
          <w:szCs w:val="22"/>
          <w:color w:val="auto"/>
        </w:rPr>
        <w:t>Operating income, which will have a 33.33% weighting; and</w:t>
      </w:r>
    </w:p>
    <w:p>
      <w:pPr>
        <w:spacing w:after="0" w:line="260" w:lineRule="exact"/>
        <w:rPr>
          <w:rFonts w:ascii="Arial" w:cs="Arial" w:eastAsia="Arial" w:hAnsi="Arial"/>
          <w:sz w:val="22"/>
          <w:szCs w:val="22"/>
          <w:color w:val="auto"/>
        </w:rPr>
      </w:pPr>
    </w:p>
    <w:p>
      <w:pPr>
        <w:ind w:left="2400" w:hanging="459"/>
        <w:spacing w:after="0"/>
        <w:tabs>
          <w:tab w:leader="none" w:pos="2400" w:val="left"/>
        </w:tabs>
        <w:numPr>
          <w:ilvl w:val="2"/>
          <w:numId w:val="47"/>
        </w:numPr>
        <w:rPr>
          <w:rFonts w:ascii="Arial" w:cs="Arial" w:eastAsia="Arial" w:hAnsi="Arial"/>
          <w:sz w:val="22"/>
          <w:szCs w:val="22"/>
          <w:color w:val="auto"/>
        </w:rPr>
      </w:pPr>
      <w:r>
        <w:rPr>
          <w:rFonts w:ascii="Arial" w:cs="Arial" w:eastAsia="Arial" w:hAnsi="Arial"/>
          <w:sz w:val="22"/>
          <w:szCs w:val="22"/>
          <w:color w:val="auto"/>
        </w:rPr>
        <w:t>Earnings per diluted share, which will have a 33.33% weighting.</w:t>
      </w:r>
    </w:p>
    <w:p>
      <w:pPr>
        <w:spacing w:after="0" w:line="260" w:lineRule="exact"/>
        <w:rPr>
          <w:sz w:val="20"/>
          <w:szCs w:val="20"/>
          <w:color w:val="auto"/>
        </w:rPr>
      </w:pPr>
    </w:p>
    <w:p>
      <w:pPr>
        <w:ind w:right="40"/>
        <w:spacing w:after="0" w:line="286" w:lineRule="auto"/>
        <w:rPr>
          <w:sz w:val="20"/>
          <w:szCs w:val="20"/>
          <w:color w:val="auto"/>
        </w:rPr>
      </w:pPr>
      <w:r>
        <w:rPr>
          <w:rFonts w:ascii="Arial" w:cs="Arial" w:eastAsia="Arial" w:hAnsi="Arial"/>
          <w:sz w:val="19"/>
          <w:szCs w:val="19"/>
          <w:color w:val="auto"/>
        </w:rPr>
        <w:t>For purposes of determining such annual performance bonuses, the Committee will each year establish a threshold, a target, and a maximum for each applicable performance metric, along with incentive ratios applicable to each Participant with respect to such threshold, target, and maximum. The applicable incentive ratio is a percentage of base compensation for a Participant, designated by the Committee, which is then multiplied by the weighting of a particular performance metric to determine the amount of a performance bonus payable to a Participant to the extent the threshold, target, or maximum for a performance metric is met or exceeded. To the extent performance exceeds the established threshold or target, as applicable, for any performance metric, but does not meet the established target or maximum, as applicable, a pro rata portion of the potential bonus payable will be paid as a performance bonus (based on the percentage of the target or maximum, as applicable, achieved in excess of the threshold or target, as applicable). Calculation of performance bonuses will be determined using linear interpolation for performance above the threshold up to the target and above the target up to the maximum. Notwithstanding the foregoing, based on any criteria it establishes in its discretion, the Committee reserves the right to continue to pay individual performance bonuses to any Participant; provided, however, that in no event shall any annual bonuses payable under this Plan exceed two hundred fifty percent (250%) of base compensation.</w:t>
      </w:r>
    </w:p>
    <w:p>
      <w:pPr>
        <w:spacing w:after="0" w:line="202" w:lineRule="exact"/>
        <w:rPr>
          <w:sz w:val="20"/>
          <w:szCs w:val="20"/>
          <w:color w:val="auto"/>
        </w:rPr>
      </w:pPr>
    </w:p>
    <w:p>
      <w:pPr>
        <w:jc w:val="both"/>
        <w:ind w:firstLine="1293"/>
        <w:spacing w:after="0" w:line="256" w:lineRule="auto"/>
        <w:tabs>
          <w:tab w:leader="none" w:pos="1958"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 xml:space="preserve">Payment of Bonuses </w:t>
      </w:r>
      <w:r>
        <w:rPr>
          <w:rFonts w:ascii="Arial" w:cs="Arial" w:eastAsia="Arial" w:hAnsi="Arial"/>
          <w:sz w:val="22"/>
          <w:szCs w:val="22"/>
          <w:color w:val="auto"/>
        </w:rPr>
        <w:t>– Any and all bonuses under this Plan shall be payable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policies and procedures established by the Committee from time to time, and payment shall only occur after the Committee has calculated and verified that such bonuses are payable.</w:t>
      </w:r>
    </w:p>
    <w:p>
      <w:pPr>
        <w:spacing w:after="0" w:line="200" w:lineRule="exact"/>
        <w:rPr>
          <w:sz w:val="20"/>
          <w:szCs w:val="20"/>
          <w:color w:val="auto"/>
        </w:rPr>
      </w:pPr>
    </w:p>
    <w:p>
      <w:pPr>
        <w:spacing w:after="0" w:line="26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882" w:right="239" w:bottom="1440" w:gutter="0" w:footer="0" w:header="0"/>
        </w:sectPr>
      </w:pPr>
    </w:p>
    <w:bookmarkStart w:id="71" w:name="page72"/>
    <w:bookmarkEnd w:id="71"/>
    <w:p>
      <w:pPr>
        <w:jc w:val="both"/>
        <w:ind w:firstLine="656"/>
        <w:spacing w:after="0" w:line="249" w:lineRule="auto"/>
        <w:tabs>
          <w:tab w:leader="none" w:pos="1053"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 Date of Plan, Termination and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shall become effective as of the date of adoption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by the Board, provided the Plan can, in the discretion of the Committee, be applied to the year prior to Plan adoption. Unless earlier terminated by the Board, the Plan shall terminate on the date ten (10) years subsequent to the date of adoption. The Board may terminate the Plan at any time, or may from time to time amend the Plan as it deems proper and in the best interest of the Corporation.</w:t>
      </w:r>
    </w:p>
    <w:p>
      <w:pPr>
        <w:spacing w:after="0" w:line="227"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CERTIFICATION</w:t>
      </w:r>
    </w:p>
    <w:p>
      <w:pPr>
        <w:spacing w:after="0" w:line="26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foregoing Plan was duly adopted by the Board of Directors, effective February 18, 2016, and was amended and restated on February 15, 2018.</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Scott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-19050</wp:posOffset>
            </wp:positionV>
            <wp:extent cx="10172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Scott Ryan, Corporate Secretary</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Gentex Corporation</w:t>
      </w: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auto"/>
        </w:rPr>
        <w:t>10210292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5"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20"/>
          <w:szCs w:val="20"/>
          <w:b w:val="1"/>
          <w:bCs w:val="1"/>
          <w:color w:val="auto"/>
        </w:rPr>
        <w:t>CEO AND CHAIRMAN RETIREMENT AND RELEASE AGREEMENT</w:t>
      </w:r>
    </w:p>
    <w:p>
      <w:pPr>
        <w:spacing w:after="0" w:line="200" w:lineRule="exact"/>
        <w:rPr>
          <w:sz w:val="20"/>
          <w:szCs w:val="20"/>
          <w:color w:val="auto"/>
        </w:rPr>
      </w:pPr>
    </w:p>
    <w:p>
      <w:pPr>
        <w:spacing w:after="0" w:line="202" w:lineRule="exact"/>
        <w:rPr>
          <w:sz w:val="20"/>
          <w:szCs w:val="20"/>
          <w:color w:val="auto"/>
        </w:rPr>
      </w:pPr>
    </w:p>
    <w:p>
      <w:pPr>
        <w:ind w:right="220" w:firstLine="648"/>
        <w:spacing w:after="0" w:line="262" w:lineRule="auto"/>
        <w:rPr>
          <w:sz w:val="20"/>
          <w:szCs w:val="20"/>
          <w:color w:val="auto"/>
        </w:rPr>
      </w:pPr>
      <w:r>
        <w:rPr>
          <w:rFonts w:ascii="Arial" w:cs="Arial" w:eastAsia="Arial" w:hAnsi="Arial"/>
          <w:sz w:val="19"/>
          <w:szCs w:val="19"/>
          <w:color w:val="auto"/>
        </w:rPr>
        <w:t>This CEO and Chairman Retirement and Release Agreement (“Agreement”) is effective as of December 31, 2017 (“Effective Date”), between Gentex Corporation (“Gentex” or “Company”) having a place of business at 600 N. Centennial St. Zeeland, Michigan, and Fred T. Bauer, having employee number 300000010, (“Employee”) (collectively referred to as “Parties”).</w:t>
      </w:r>
    </w:p>
    <w:p>
      <w:pPr>
        <w:spacing w:after="0" w:line="200" w:lineRule="exact"/>
        <w:rPr>
          <w:sz w:val="20"/>
          <w:szCs w:val="20"/>
          <w:color w:val="auto"/>
        </w:rPr>
      </w:pPr>
    </w:p>
    <w:p>
      <w:pPr>
        <w:spacing w:after="0" w:line="327" w:lineRule="exact"/>
        <w:rPr>
          <w:sz w:val="20"/>
          <w:szCs w:val="20"/>
          <w:color w:val="auto"/>
        </w:rPr>
      </w:pPr>
    </w:p>
    <w:p>
      <w:pPr>
        <w:ind w:left="660" w:right="60" w:hanging="652"/>
        <w:spacing w:after="0"/>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Background and Purpose</w:t>
      </w:r>
      <w:r>
        <w:rPr>
          <w:rFonts w:ascii="Arial" w:cs="Arial" w:eastAsia="Arial" w:hAnsi="Arial"/>
          <w:sz w:val="20"/>
          <w:szCs w:val="20"/>
          <w:color w:val="auto"/>
        </w:rPr>
        <w:t>. Gentex is a Michigan Corporation. Employee has been employed by Gentex and has served as a director. As of the Effective Date, the Employee wishes to retire as Chief Executive Officer and Chairman of the Board of Directors and to resign from the Board, but remain an employee as set forth herein until the expiration of the Employment Agreement (defined below). The Parties also desire to resolve any outstanding issues between them. This Agreement accomplishes a written statement of current benefits, and additional benefits granted to Employee to which Employee would not otherwise be entitled. The additional benefits are granted in consideration for the covenants, commitments, and releases in this Agreement and the resolution of all outstanding issues between the Parties. The Parties hereby acknowledge the receipt and sufficiency of the consideration.</w:t>
      </w:r>
    </w:p>
    <w:p>
      <w:pPr>
        <w:spacing w:after="0" w:line="158" w:lineRule="exact"/>
        <w:rPr>
          <w:rFonts w:ascii="Arial" w:cs="Arial" w:eastAsia="Arial" w:hAnsi="Arial"/>
          <w:sz w:val="20"/>
          <w:szCs w:val="20"/>
          <w:color w:val="auto"/>
        </w:rPr>
      </w:pPr>
    </w:p>
    <w:p>
      <w:pPr>
        <w:ind w:left="660" w:hanging="652"/>
        <w:spacing w:after="0"/>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Retirement Date</w:t>
      </w:r>
      <w:r>
        <w:rPr>
          <w:rFonts w:ascii="Arial" w:cs="Arial" w:eastAsia="Arial" w:hAnsi="Arial"/>
          <w:sz w:val="20"/>
          <w:szCs w:val="20"/>
          <w:color w:val="auto"/>
        </w:rPr>
        <w:t>. Employee hereby resigns as Chief Executive Officer, Chairman of the Board, and as a director of the Company, as of the Effective Date. As of the Effective Date, Employee no longer has the title or responsibilities of Chief Executive Officer and is no longer an officer for purposes of Section 16 of the Securities Exchange Act of 1934. The Company will publish a press release and issue a Form 8-K (in forms attached hereto in Appendix A) announcing Employee’s retirement and resignation within four (4) business days after the Effective Date. Employee agrees to submit a letter to the Lead Independent Director of the Board resigning as Chief Executive Officer, as Chairman of the Board of Directors, as a director, and from other officer and director positions held in any subsidiaries of the Company effective as of the Effective Date (in the form attached hereto in Appendix B).</w:t>
      </w:r>
    </w:p>
    <w:p>
      <w:pPr>
        <w:spacing w:after="0" w:line="158" w:lineRule="exact"/>
        <w:rPr>
          <w:rFonts w:ascii="Arial" w:cs="Arial" w:eastAsia="Arial" w:hAnsi="Arial"/>
          <w:sz w:val="20"/>
          <w:szCs w:val="20"/>
          <w:color w:val="auto"/>
        </w:rPr>
      </w:pPr>
    </w:p>
    <w:p>
      <w:pPr>
        <w:ind w:left="660" w:right="180" w:hanging="652"/>
        <w:spacing w:after="0" w:line="247" w:lineRule="auto"/>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Additional Benefits</w:t>
      </w:r>
      <w:r>
        <w:rPr>
          <w:rFonts w:ascii="Arial" w:cs="Arial" w:eastAsia="Arial" w:hAnsi="Arial"/>
          <w:sz w:val="20"/>
          <w:szCs w:val="20"/>
          <w:color w:val="auto"/>
        </w:rPr>
        <w:t>. As consideration for the commitments and releases in this Agreement, Gentex will provide Employee with the following benefits to which he is not otherwise entitled.</w:t>
      </w:r>
    </w:p>
    <w:p>
      <w:pPr>
        <w:spacing w:after="0" w:line="147" w:lineRule="exact"/>
        <w:rPr>
          <w:rFonts w:ascii="Arial" w:cs="Arial" w:eastAsia="Arial" w:hAnsi="Arial"/>
          <w:sz w:val="20"/>
          <w:szCs w:val="20"/>
          <w:color w:val="auto"/>
        </w:rPr>
      </w:pPr>
    </w:p>
    <w:p>
      <w:pPr>
        <w:jc w:val="both"/>
        <w:ind w:left="1300" w:right="220" w:hanging="644"/>
        <w:spacing w:after="0" w:line="243" w:lineRule="auto"/>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Employment Agreement</w:t>
      </w:r>
      <w:r>
        <w:rPr>
          <w:rFonts w:ascii="Arial" w:cs="Arial" w:eastAsia="Arial" w:hAnsi="Arial"/>
          <w:sz w:val="20"/>
          <w:szCs w:val="20"/>
          <w:color w:val="auto"/>
        </w:rPr>
        <w:t>. Employee and Gentex are contemporaneously entering into an employment agreement (in the form attached hereto in Appendix C), wherein employee will remain an employee of Gentex (“Employment Agreement”).</w:t>
      </w:r>
    </w:p>
    <w:p>
      <w:pPr>
        <w:spacing w:after="0" w:line="152" w:lineRule="exact"/>
        <w:rPr>
          <w:rFonts w:ascii="Arial" w:cs="Arial" w:eastAsia="Arial" w:hAnsi="Arial"/>
          <w:sz w:val="20"/>
          <w:szCs w:val="20"/>
          <w:color w:val="auto"/>
        </w:rPr>
      </w:pPr>
    </w:p>
    <w:p>
      <w:pPr>
        <w:ind w:left="1300" w:hanging="644"/>
        <w:spacing w:after="0" w:line="241" w:lineRule="auto"/>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Stock Redemption</w:t>
      </w:r>
      <w:r>
        <w:rPr>
          <w:rFonts w:ascii="Arial" w:cs="Arial" w:eastAsia="Arial" w:hAnsi="Arial"/>
          <w:sz w:val="20"/>
          <w:szCs w:val="20"/>
          <w:color w:val="auto"/>
        </w:rPr>
        <w:t>. Gentex will repurchase five million four hundred ninety-nine thousand seven hundred twenty eight (5,499,728) shares of the Company’s common stock owned by Employee, plus any shares of the Company's common stock acquired by Employee by virtue of the exercise of vested stock options by paying cash (and holding the same) on or before January 9, 2018, pursuant to the Stock Redemption Agreement (in the form attached hereto in Appendix D) (the “Redemption Agreement”).</w:t>
      </w:r>
    </w:p>
    <w:p>
      <w:pPr>
        <w:spacing w:after="0" w:line="155" w:lineRule="exact"/>
        <w:rPr>
          <w:rFonts w:ascii="Arial" w:cs="Arial" w:eastAsia="Arial" w:hAnsi="Arial"/>
          <w:sz w:val="20"/>
          <w:szCs w:val="20"/>
          <w:color w:val="auto"/>
        </w:rPr>
      </w:pPr>
    </w:p>
    <w:p>
      <w:pPr>
        <w:ind w:left="1300" w:right="120" w:hanging="644"/>
        <w:spacing w:after="0" w:line="272" w:lineRule="auto"/>
        <w:tabs>
          <w:tab w:leader="none" w:pos="1300"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Vacation days earned by Employee prior to the Effective Date, but not taken, will be paid through normal payroll procedures in a lump sum, less required tax withholdings and deductions, no later than January 19, 2018.</w:t>
      </w:r>
    </w:p>
    <w:p>
      <w:pPr>
        <w:spacing w:after="0" w:line="126" w:lineRule="exact"/>
        <w:rPr>
          <w:rFonts w:ascii="Arial" w:cs="Arial" w:eastAsia="Arial" w:hAnsi="Arial"/>
          <w:sz w:val="19"/>
          <w:szCs w:val="19"/>
          <w:color w:val="auto"/>
        </w:rPr>
      </w:pPr>
    </w:p>
    <w:p>
      <w:pPr>
        <w:ind w:left="1300" w:right="40" w:hanging="644"/>
        <w:spacing w:after="0" w:line="243" w:lineRule="auto"/>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Health Benefits</w:t>
      </w:r>
      <w:r>
        <w:rPr>
          <w:rFonts w:ascii="Arial" w:cs="Arial" w:eastAsia="Arial" w:hAnsi="Arial"/>
          <w:sz w:val="20"/>
          <w:szCs w:val="20"/>
          <w:color w:val="auto"/>
        </w:rPr>
        <w:t>. Employee’s coverage under Gentex’s group health insurance plans shall cease effective as of the Effective Date, at which time Employee shall be eligible to continue such coverage as permitted under COBRA and additional coverage provided for in the Employment Agreement.</w:t>
      </w:r>
    </w:p>
    <w:p>
      <w:pPr>
        <w:spacing w:after="0" w:line="152" w:lineRule="exact"/>
        <w:rPr>
          <w:rFonts w:ascii="Arial" w:cs="Arial" w:eastAsia="Arial" w:hAnsi="Arial"/>
          <w:sz w:val="20"/>
          <w:szCs w:val="20"/>
          <w:color w:val="auto"/>
        </w:rPr>
      </w:pPr>
    </w:p>
    <w:p>
      <w:pPr>
        <w:ind w:left="1300" w:right="540" w:hanging="644"/>
        <w:spacing w:after="0" w:line="247" w:lineRule="auto"/>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Building Purchase</w:t>
      </w:r>
      <w:r>
        <w:rPr>
          <w:rFonts w:ascii="Arial" w:cs="Arial" w:eastAsia="Arial" w:hAnsi="Arial"/>
          <w:sz w:val="20"/>
          <w:szCs w:val="20"/>
          <w:color w:val="auto"/>
        </w:rPr>
        <w:t>. Within one hundred twenty (120) calendar days after the Effective Date, Gentex agrees to purchase the property located at 10985 Chicago Dr. Zeeland, MI</w:t>
      </w:r>
    </w:p>
    <w:p>
      <w:pPr>
        <w:sectPr>
          <w:pgSz w:w="11900" w:h="16838" w:orient="portrait"/>
          <w:cols w:equalWidth="0" w:num="1">
            <w:col w:w="11400"/>
          </w:cols>
          <w:pgMar w:left="240" w:top="571" w:right="259" w:bottom="1440" w:gutter="0" w:footer="0" w:header="0"/>
        </w:sectPr>
      </w:pPr>
    </w:p>
    <w:bookmarkStart w:id="73" w:name="page74"/>
    <w:bookmarkEnd w:id="73"/>
    <w:p>
      <w:pPr>
        <w:ind w:left="1292" w:right="100"/>
        <w:spacing w:after="0" w:line="275" w:lineRule="auto"/>
        <w:rPr>
          <w:sz w:val="20"/>
          <w:szCs w:val="20"/>
          <w:color w:val="auto"/>
        </w:rPr>
      </w:pPr>
      <w:r>
        <w:rPr>
          <w:rFonts w:ascii="Arial" w:cs="Arial" w:eastAsia="Arial" w:hAnsi="Arial"/>
          <w:sz w:val="20"/>
          <w:szCs w:val="20"/>
          <w:color w:val="auto"/>
        </w:rPr>
        <w:t>49464 from Employee (or any entity Employee controls, as applicable) for $950,000.00, subject to usual terms and conditions for an acquisition of real property of this type.</w:t>
      </w:r>
    </w:p>
    <w:p>
      <w:pPr>
        <w:spacing w:after="0" w:line="135" w:lineRule="exact"/>
        <w:rPr>
          <w:sz w:val="20"/>
          <w:szCs w:val="20"/>
          <w:color w:val="auto"/>
        </w:rPr>
      </w:pPr>
    </w:p>
    <w:p>
      <w:pPr>
        <w:jc w:val="both"/>
        <w:ind w:left="1292" w:right="20" w:hanging="644"/>
        <w:spacing w:after="0" w:line="272" w:lineRule="auto"/>
        <w:tabs>
          <w:tab w:leader="none" w:pos="1292"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Retirement Payment</w:t>
      </w:r>
      <w:r>
        <w:rPr>
          <w:rFonts w:ascii="Arial" w:cs="Arial" w:eastAsia="Arial" w:hAnsi="Arial"/>
          <w:sz w:val="19"/>
          <w:szCs w:val="19"/>
          <w:color w:val="auto"/>
        </w:rPr>
        <w:t>. The Company will pay Employee a gross amount of two million one hundred thousand dollars ($2,100,000), less required payroll tax withholdings, in immediately available funds, no later than January 19, 2018.</w:t>
      </w:r>
    </w:p>
    <w:p>
      <w:pPr>
        <w:spacing w:after="0" w:line="126" w:lineRule="exact"/>
        <w:rPr>
          <w:rFonts w:ascii="Arial" w:cs="Arial" w:eastAsia="Arial" w:hAnsi="Arial"/>
          <w:sz w:val="19"/>
          <w:szCs w:val="19"/>
          <w:color w:val="auto"/>
        </w:rPr>
      </w:pPr>
    </w:p>
    <w:p>
      <w:pPr>
        <w:ind w:left="1292" w:hanging="644"/>
        <w:spacing w:after="0"/>
        <w:tabs>
          <w:tab w:leader="none" w:pos="1292"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Subsidiaries.</w:t>
      </w:r>
      <w:r>
        <w:rPr>
          <w:rFonts w:ascii="Arial" w:cs="Arial" w:eastAsia="Arial" w:hAnsi="Arial"/>
          <w:sz w:val="20"/>
          <w:szCs w:val="20"/>
          <w:color w:val="auto"/>
        </w:rPr>
        <w:t xml:space="preserve"> Employee hereby resigns any and all officer and director positions held in any Gentex subsidiaries.</w:t>
      </w:r>
    </w:p>
    <w:p>
      <w:pPr>
        <w:spacing w:after="0" w:line="161" w:lineRule="exact"/>
        <w:rPr>
          <w:rFonts w:ascii="Arial" w:cs="Arial" w:eastAsia="Arial" w:hAnsi="Arial"/>
          <w:sz w:val="20"/>
          <w:szCs w:val="20"/>
          <w:color w:val="auto"/>
        </w:rPr>
      </w:pPr>
    </w:p>
    <w:p>
      <w:pPr>
        <w:ind w:left="652" w:right="20" w:hanging="652"/>
        <w:spacing w:after="0" w:line="243" w:lineRule="auto"/>
        <w:tabs>
          <w:tab w:leader="none" w:pos="652"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Other Benefits</w:t>
      </w:r>
      <w:r>
        <w:rPr>
          <w:rFonts w:ascii="Arial" w:cs="Arial" w:eastAsia="Arial" w:hAnsi="Arial"/>
          <w:sz w:val="20"/>
          <w:szCs w:val="20"/>
          <w:color w:val="auto"/>
        </w:rPr>
        <w:t>. Except for the payments and other benefits explicitly set forth in this Agreement, the Employment Agreement, the Redemption Agreement, and Employee’s stock option award agreements, all other benefits, shall cease as of the Effective Date.</w:t>
      </w:r>
    </w:p>
    <w:p>
      <w:pPr>
        <w:spacing w:after="0" w:line="152" w:lineRule="exact"/>
        <w:rPr>
          <w:rFonts w:ascii="Arial" w:cs="Arial" w:eastAsia="Arial" w:hAnsi="Arial"/>
          <w:sz w:val="20"/>
          <w:szCs w:val="20"/>
          <w:color w:val="auto"/>
        </w:rPr>
      </w:pPr>
    </w:p>
    <w:p>
      <w:pPr>
        <w:ind w:left="652" w:hanging="652"/>
        <w:spacing w:after="0" w:line="241" w:lineRule="auto"/>
        <w:tabs>
          <w:tab w:leader="none" w:pos="652"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Release and Waiver</w:t>
      </w:r>
      <w:r>
        <w:rPr>
          <w:rFonts w:ascii="Arial" w:cs="Arial" w:eastAsia="Arial" w:hAnsi="Arial"/>
          <w:sz w:val="20"/>
          <w:szCs w:val="20"/>
          <w:color w:val="auto"/>
        </w:rPr>
        <w:t>. In consideration of the additional benefit payments and other benefits set forth in this Agreement, Employee releases, waives and forever discharges Gentex, its affiliates and successors, past, present and future, and their owners, officers, directors, agents and employees, both present and former, from all claims, demands, obligations, damages and liabilities of every kind and nature and from all actions and causes of action which Employee may now have or may have or maintain hereafter, whether in law or in equity, known or unknown, arising in any way on or before the date Employee signs this Agreement, including all claims arising out of Employee’s employment with Gentex.</w:t>
      </w:r>
    </w:p>
    <w:p>
      <w:pPr>
        <w:spacing w:after="0" w:line="153" w:lineRule="exact"/>
        <w:rPr>
          <w:rFonts w:ascii="Arial" w:cs="Arial" w:eastAsia="Arial" w:hAnsi="Arial"/>
          <w:sz w:val="20"/>
          <w:szCs w:val="20"/>
          <w:color w:val="auto"/>
        </w:rPr>
      </w:pPr>
    </w:p>
    <w:p>
      <w:pPr>
        <w:ind w:left="1292" w:right="80" w:hanging="644"/>
        <w:spacing w:after="0" w:line="241" w:lineRule="auto"/>
        <w:tabs>
          <w:tab w:leader="none" w:pos="1292" w:val="left"/>
        </w:tabs>
        <w:numPr>
          <w:ilvl w:val="1"/>
          <w:numId w:val="52"/>
        </w:numPr>
        <w:rPr>
          <w:rFonts w:ascii="Arial" w:cs="Arial" w:eastAsia="Arial" w:hAnsi="Arial"/>
          <w:sz w:val="20"/>
          <w:szCs w:val="20"/>
          <w:color w:val="auto"/>
        </w:rPr>
      </w:pPr>
      <w:r>
        <w:rPr>
          <w:rFonts w:ascii="Arial" w:cs="Arial" w:eastAsia="Arial" w:hAnsi="Arial"/>
          <w:sz w:val="20"/>
          <w:szCs w:val="20"/>
          <w:u w:val="single" w:color="auto"/>
          <w:color w:val="auto"/>
        </w:rPr>
        <w:t>Included Statutes</w:t>
      </w:r>
      <w:r>
        <w:rPr>
          <w:rFonts w:ascii="Arial" w:cs="Arial" w:eastAsia="Arial" w:hAnsi="Arial"/>
          <w:sz w:val="20"/>
          <w:szCs w:val="20"/>
          <w:color w:val="auto"/>
        </w:rPr>
        <w:t>. This Release and Waiver includes, but is not limited to, any and all claims, including claims for attorney fees, arising under the Civil Rights Act of 1964, the Employee Retirement Income Security Act of 1974, as amended, the Age Discrimination in Employment Act of 1967, as amended, the Americans with Disabilities Act, the Family and Medical Leave Act, the Michigan Elliott-Larsen Civil Rights Act, the Michigan Persons with Disabilities Civil Rights Act, and all other relevant local, state and Federal statutes and regulations.</w:t>
      </w:r>
    </w:p>
    <w:p>
      <w:pPr>
        <w:spacing w:after="0" w:line="155" w:lineRule="exact"/>
        <w:rPr>
          <w:rFonts w:ascii="Arial" w:cs="Arial" w:eastAsia="Arial" w:hAnsi="Arial"/>
          <w:sz w:val="20"/>
          <w:szCs w:val="20"/>
          <w:color w:val="auto"/>
        </w:rPr>
      </w:pPr>
    </w:p>
    <w:p>
      <w:pPr>
        <w:ind w:left="1292" w:right="20" w:hanging="644"/>
        <w:spacing w:after="0"/>
        <w:tabs>
          <w:tab w:leader="none" w:pos="1292" w:val="left"/>
        </w:tabs>
        <w:numPr>
          <w:ilvl w:val="1"/>
          <w:numId w:val="52"/>
        </w:numPr>
        <w:rPr>
          <w:rFonts w:ascii="Arial" w:cs="Arial" w:eastAsia="Arial" w:hAnsi="Arial"/>
          <w:sz w:val="20"/>
          <w:szCs w:val="20"/>
          <w:color w:val="auto"/>
        </w:rPr>
      </w:pPr>
      <w:r>
        <w:rPr>
          <w:rFonts w:ascii="Arial" w:cs="Arial" w:eastAsia="Arial" w:hAnsi="Arial"/>
          <w:sz w:val="20"/>
          <w:szCs w:val="20"/>
          <w:u w:val="single" w:color="auto"/>
          <w:color w:val="auto"/>
        </w:rPr>
        <w:t>Included Claims</w:t>
      </w:r>
      <w:r>
        <w:rPr>
          <w:rFonts w:ascii="Arial" w:cs="Arial" w:eastAsia="Arial" w:hAnsi="Arial"/>
          <w:sz w:val="20"/>
          <w:szCs w:val="20"/>
          <w:color w:val="auto"/>
        </w:rPr>
        <w:t>. Except those benefits expressly set forth in this Agreement, the Employment Agreement, the Redemption Agreement, and Employee’s stock option award agreements, and subject to Section 5.c. below, this Release and Waiver also includes, but is not limited to, all claims for past or future wages, severance pay, bonuses, commissions, vacation pay, sick pay, medical benefits, life or disability insurance, equity options or grants, and other benefits and all claims for violation of any express or implied agreement, written or verbal, that occurred before the execution of this Agreement, or for any violation of any common law duty or statute, including all claims for attorney fees. Employee releases and waives all rights to recover, directly or indirectly, all or part of any penalty imposed on Gentex as a result of any action brought by or on behalf of any federal, state, or local government or by Employee or on behalf of Employee against Gentex.</w:t>
      </w:r>
    </w:p>
    <w:p>
      <w:pPr>
        <w:spacing w:after="0" w:line="158" w:lineRule="exact"/>
        <w:rPr>
          <w:rFonts w:ascii="Arial" w:cs="Arial" w:eastAsia="Arial" w:hAnsi="Arial"/>
          <w:sz w:val="20"/>
          <w:szCs w:val="20"/>
          <w:color w:val="auto"/>
        </w:rPr>
      </w:pPr>
    </w:p>
    <w:p>
      <w:pPr>
        <w:ind w:left="1292" w:right="20" w:hanging="644"/>
        <w:spacing w:after="0"/>
        <w:tabs>
          <w:tab w:leader="none" w:pos="1292" w:val="left"/>
        </w:tabs>
        <w:numPr>
          <w:ilvl w:val="1"/>
          <w:numId w:val="52"/>
        </w:numPr>
        <w:rPr>
          <w:rFonts w:ascii="Arial" w:cs="Arial" w:eastAsia="Arial" w:hAnsi="Arial"/>
          <w:sz w:val="20"/>
          <w:szCs w:val="20"/>
          <w:color w:val="auto"/>
        </w:rPr>
      </w:pPr>
      <w:r>
        <w:rPr>
          <w:rFonts w:ascii="Arial" w:cs="Arial" w:eastAsia="Arial" w:hAnsi="Arial"/>
          <w:sz w:val="20"/>
          <w:szCs w:val="20"/>
          <w:u w:val="single" w:color="auto"/>
          <w:color w:val="auto"/>
        </w:rPr>
        <w:t>Excluded Claims</w:t>
      </w:r>
      <w:r>
        <w:rPr>
          <w:rFonts w:ascii="Arial" w:cs="Arial" w:eastAsia="Arial" w:hAnsi="Arial"/>
          <w:sz w:val="20"/>
          <w:szCs w:val="20"/>
          <w:color w:val="auto"/>
        </w:rPr>
        <w:t>. Notwithstanding anything to the contrary herein, Employee is not waiving and releasing: Employee’s claims for the payments and other benefits called for under (or to otherwise enforce) this Agreement, the Employment Agreement, the Redemption Agreement or Employee’s stock option award agreements; Employee’s right to any vested qualified retirement plan account attributable to Employee’s service or any other vested benefits; any claim, if any, to indemnification under any applicable law, any Company bylaws, or any director and officer insurance arrangements</w:t>
      </w:r>
      <w:r>
        <w:rPr>
          <w:rFonts w:ascii="Arial" w:cs="Arial" w:eastAsia="Arial" w:hAnsi="Arial"/>
          <w:sz w:val="20"/>
          <w:szCs w:val="20"/>
          <w:b w:val="1"/>
          <w:bCs w:val="1"/>
          <w:color w:val="auto"/>
        </w:rPr>
        <w:t>;</w:t>
      </w:r>
      <w:r>
        <w:rPr>
          <w:rFonts w:ascii="Arial" w:cs="Arial" w:eastAsia="Arial" w:hAnsi="Arial"/>
          <w:sz w:val="20"/>
          <w:szCs w:val="20"/>
          <w:color w:val="auto"/>
        </w:rPr>
        <w:t xml:space="preserve"> or Employee’s right to continue COBRA continuation coverage. This Agreement does not prohibit Employee from filing a charge or participating in an investigation by the United States Equal Employment Opportunity Commission, but by executing this Agreement, Employee waives and releases any right Employee might otherwise have to any recovery of damages,</w:t>
      </w:r>
    </w:p>
    <w:p>
      <w:pPr>
        <w:sectPr>
          <w:pgSz w:w="11900" w:h="16838" w:orient="portrait"/>
          <w:cols w:equalWidth="0" w:num="1">
            <w:col w:w="11412"/>
          </w:cols>
          <w:pgMar w:left="248" w:top="771" w:right="239" w:bottom="1440" w:gutter="0" w:footer="0" w:header="0"/>
        </w:sectPr>
      </w:pPr>
    </w:p>
    <w:bookmarkStart w:id="74" w:name="page75"/>
    <w:bookmarkEnd w:id="74"/>
    <w:p>
      <w:pPr>
        <w:ind w:left="1292"/>
        <w:spacing w:after="0"/>
        <w:rPr>
          <w:sz w:val="20"/>
          <w:szCs w:val="20"/>
          <w:color w:val="auto"/>
        </w:rPr>
      </w:pPr>
      <w:r>
        <w:rPr>
          <w:rFonts w:ascii="Arial" w:cs="Arial" w:eastAsia="Arial" w:hAnsi="Arial"/>
          <w:sz w:val="19"/>
          <w:szCs w:val="19"/>
          <w:color w:val="auto"/>
        </w:rPr>
        <w:t>attorney fees or any other monetary or equitable relief or benefit that might result from such charge or investigation.</w:t>
      </w:r>
    </w:p>
    <w:p>
      <w:pPr>
        <w:spacing w:after="0" w:line="187" w:lineRule="exact"/>
        <w:rPr>
          <w:sz w:val="20"/>
          <w:szCs w:val="20"/>
          <w:color w:val="auto"/>
        </w:rPr>
      </w:pPr>
    </w:p>
    <w:p>
      <w:pPr>
        <w:ind w:left="652" w:right="40" w:hanging="652"/>
        <w:spacing w:after="0"/>
        <w:tabs>
          <w:tab w:leader="none" w:pos="652"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Full Review and Knowing and Voluntary Agreement</w:t>
      </w:r>
      <w:r>
        <w:rPr>
          <w:rFonts w:ascii="Arial" w:cs="Arial" w:eastAsia="Arial" w:hAnsi="Arial"/>
          <w:sz w:val="20"/>
          <w:szCs w:val="20"/>
          <w:color w:val="auto"/>
        </w:rPr>
        <w:t>. Employee agrees that he has been given the opportunity to fully review this Agreement, has thoroughly reviewed it, fully understands its terms and knowingly and voluntarily agrees to all of its provisions including, but not limited to, the release and other provisions listed above. Employee acknowledges that Gentex has provided Employee up to twenty-one (21) days to deliberate whether to sign this Agreement and that such period is a reasonable time for deliberation. Employee acknowledges that Gentex advised Employee to consult with an attorney regarding this Agreement, and that he has either consulted with an attorney regarding this Agreement or has intentionally chosen not to exercise his right to consult with an attorney regarding this Agreement. Employee further acknowledges that if this Agreement is executed prior to the expiration of the twenty-one (21) day deliberation period, such execution was knowing and voluntary and without coercion or duress by Gentex.</w:t>
      </w:r>
    </w:p>
    <w:p>
      <w:pPr>
        <w:spacing w:after="0" w:line="158" w:lineRule="exact"/>
        <w:rPr>
          <w:rFonts w:ascii="Arial" w:cs="Arial" w:eastAsia="Arial" w:hAnsi="Arial"/>
          <w:sz w:val="20"/>
          <w:szCs w:val="20"/>
          <w:color w:val="auto"/>
        </w:rPr>
      </w:pPr>
    </w:p>
    <w:p>
      <w:pPr>
        <w:ind w:left="652" w:hanging="652"/>
        <w:spacing w:after="0" w:line="262" w:lineRule="auto"/>
        <w:tabs>
          <w:tab w:leader="none" w:pos="652"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Revocation</w:t>
      </w:r>
      <w:r>
        <w:rPr>
          <w:rFonts w:ascii="Arial" w:cs="Arial" w:eastAsia="Arial" w:hAnsi="Arial"/>
          <w:sz w:val="19"/>
          <w:szCs w:val="19"/>
          <w:color w:val="auto"/>
        </w:rPr>
        <w:t>. Employee shall have the right to revoke this Agreement for a period of seven (7) days following the date of execution. Notice of revocation shall be in a signed writing and delivered to Gentex’s Legal Department before expiration of the revocation period. This Agreement shall not become effective or enforceable until this revocation period has expired.</w:t>
      </w:r>
    </w:p>
    <w:p>
      <w:pPr>
        <w:spacing w:after="0" w:line="135" w:lineRule="exact"/>
        <w:rPr>
          <w:rFonts w:ascii="Arial" w:cs="Arial" w:eastAsia="Arial" w:hAnsi="Arial"/>
          <w:sz w:val="19"/>
          <w:szCs w:val="19"/>
          <w:color w:val="auto"/>
        </w:rPr>
      </w:pPr>
    </w:p>
    <w:p>
      <w:pPr>
        <w:ind w:left="652" w:right="60" w:hanging="652"/>
        <w:spacing w:after="0"/>
        <w:tabs>
          <w:tab w:leader="none" w:pos="652"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 In consideration for and as a material condition of the promises and payments under this Agreement, Employee agrees not to make or publish in verbal, written or any other form, any disparaging remarks or negative comments to any third party (which shall not include Employee’s immediately family members or children) nor shall Employee knowingly encourage or assist any third party to make such disparaging remarks or negative comments regarding, concerning or alluding to in any manner, Gentex, its affiliates and/or subsidiaries, past, present and future and/or their past, present and future officers, directors, agents and/or employees. In consideration for and as a material condition of the promises under this Agreement, the Company agrees that no member of its Board of Directors nor any of its executive officers (in each case while serving in such roles) will make or publish in verbal, written or any other form, any disparaging remarks or negative comments to any third party, nor shall any such individual knowingly encourage or assist any third party to make such disparaging remarks or negative comments, regarding, concerning or alluding to in any manner to Employee.</w:t>
      </w:r>
    </w:p>
    <w:p>
      <w:pPr>
        <w:spacing w:after="0" w:line="157" w:lineRule="exact"/>
        <w:rPr>
          <w:rFonts w:ascii="Arial" w:cs="Arial" w:eastAsia="Arial" w:hAnsi="Arial"/>
          <w:sz w:val="20"/>
          <w:szCs w:val="20"/>
          <w:color w:val="auto"/>
        </w:rPr>
      </w:pPr>
    </w:p>
    <w:p>
      <w:pPr>
        <w:ind w:left="652" w:right="340" w:hanging="652"/>
        <w:spacing w:after="0" w:line="247" w:lineRule="auto"/>
        <w:tabs>
          <w:tab w:leader="none" w:pos="652"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Non-admission of Liability</w:t>
      </w:r>
      <w:r>
        <w:rPr>
          <w:rFonts w:ascii="Arial" w:cs="Arial" w:eastAsia="Arial" w:hAnsi="Arial"/>
          <w:sz w:val="20"/>
          <w:szCs w:val="20"/>
          <w:color w:val="auto"/>
        </w:rPr>
        <w:t>. By execution of this Agreement, Gentex specifically denies any wrongdoing as to Employee, and specifically disclaims any violation of any law, contract, public policy, or the commission of any tort.</w:t>
      </w:r>
    </w:p>
    <w:p>
      <w:pPr>
        <w:spacing w:after="0" w:line="147" w:lineRule="exact"/>
        <w:rPr>
          <w:rFonts w:ascii="Arial" w:cs="Arial" w:eastAsia="Arial" w:hAnsi="Arial"/>
          <w:sz w:val="20"/>
          <w:szCs w:val="20"/>
          <w:color w:val="auto"/>
        </w:rPr>
      </w:pPr>
    </w:p>
    <w:p>
      <w:pPr>
        <w:ind w:left="652" w:right="40" w:hanging="652"/>
        <w:spacing w:after="0"/>
        <w:tabs>
          <w:tab w:leader="none" w:pos="652"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Return of Gentex Property</w:t>
      </w:r>
      <w:r>
        <w:rPr>
          <w:rFonts w:ascii="Arial" w:cs="Arial" w:eastAsia="Arial" w:hAnsi="Arial"/>
          <w:sz w:val="20"/>
          <w:szCs w:val="20"/>
          <w:color w:val="auto"/>
        </w:rPr>
        <w:t>. On or before the expiration of the Employment Agreement, Employee will immediately return to Gentex (or otherwise will destroy) all materials including, without limitation, reports, files, memoranda, records, credit cards, keys, access cards, computers, mobile or smart phones, electronic storage devices, instruction manuals and other physical or personal property which Employee received, prepared or helped to prepare, in connection with Employee’s employment with Gentex, its predecessors, subsidiaries, or affiliates that Employee locates after a reasonably diligent search; and Employee will not intentionally retain any copies, duplications, reproductions, or excerpts thereof. Employee further understands that following the expiration of the Employment Agreement, all visits to Gentex will be subject to the Gentex Visitor Policy.</w:t>
      </w:r>
    </w:p>
    <w:p>
      <w:pPr>
        <w:spacing w:after="0" w:line="158" w:lineRule="exact"/>
        <w:rPr>
          <w:rFonts w:ascii="Arial" w:cs="Arial" w:eastAsia="Arial" w:hAnsi="Arial"/>
          <w:sz w:val="20"/>
          <w:szCs w:val="20"/>
          <w:color w:val="auto"/>
        </w:rPr>
      </w:pPr>
    </w:p>
    <w:p>
      <w:pPr>
        <w:ind w:left="652" w:right="200" w:hanging="652"/>
        <w:spacing w:after="0" w:line="241" w:lineRule="auto"/>
        <w:tabs>
          <w:tab w:leader="none" w:pos="652"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Employee agrees to abide by the confidentiality and non-compete provisions as set forth in Sections 1, 2 and 3 of the Employment Agreement signed on October 18, 1985 and amended by the Special Amendment to the Employment Agreement having an effective date of July 31, 1989 (such agreement as amended referred to as the “1985 Employment Agreement”) to the extent enforceable under applicable law and subject to the provisions of this Agreement. Nothing in this Agreement is to be considered a modification to or the superseding of the 1985 Employment Agreement, except as set forth in Sections 10, 11 and 16 of this Agreement. During</w:t>
      </w:r>
    </w:p>
    <w:p>
      <w:pPr>
        <w:sectPr>
          <w:pgSz w:w="11900" w:h="16838" w:orient="portrait"/>
          <w:cols w:equalWidth="0" w:num="1">
            <w:col w:w="11412"/>
          </w:cols>
          <w:pgMar w:left="248" w:top="771" w:right="239" w:bottom="1440" w:gutter="0" w:footer="0" w:header="0"/>
        </w:sectPr>
      </w:pPr>
    </w:p>
    <w:bookmarkStart w:id="75" w:name="page76"/>
    <w:bookmarkEnd w:id="75"/>
    <w:p>
      <w:pPr>
        <w:ind w:left="652" w:right="100"/>
        <w:spacing w:after="0" w:line="268" w:lineRule="auto"/>
        <w:rPr>
          <w:sz w:val="20"/>
          <w:szCs w:val="20"/>
          <w:color w:val="auto"/>
        </w:rPr>
      </w:pPr>
      <w:r>
        <w:rPr>
          <w:rFonts w:ascii="Arial" w:cs="Arial" w:eastAsia="Arial" w:hAnsi="Arial"/>
          <w:sz w:val="20"/>
          <w:szCs w:val="20"/>
          <w:color w:val="auto"/>
        </w:rPr>
        <w:t>the Term, Employee also agrees, except pursuant to permission from the Company, not to solicit or attempt to solicit, directly or indirectly, (a) any then-current employee or person providing services to the Company to no longer serve as an employee or provide services to the Company; or (b) any work or business whatsoever from any then-current customer or potential customer of the Company for purposes of engaging in business activities competitive with the products of the Company. Gentex acknowledges that, to the extent not inconsistent with Employees obligations under the Employment Agreement, (x) at any time, Employee may engage in, assist with and invest in other business activities and opportunities that do not utilize any Gentex confidential or trade secret information and that are not competitive with the products of Gentex; and (y) Gentex will have no enforcement or other rights with respect thereto nor any right to prevent such activities, opportunities, or investments; and (z) Employee will not be prevented from utilizing his general knowledge or skills in the industry.</w:t>
      </w:r>
    </w:p>
    <w:p>
      <w:pPr>
        <w:spacing w:after="0" w:line="146" w:lineRule="exact"/>
        <w:rPr>
          <w:sz w:val="20"/>
          <w:szCs w:val="20"/>
          <w:color w:val="auto"/>
        </w:rPr>
      </w:pPr>
    </w:p>
    <w:p>
      <w:pPr>
        <w:ind w:left="652" w:right="20" w:hanging="652"/>
        <w:spacing w:after="0" w:line="231" w:lineRule="exact"/>
        <w:tabs>
          <w:tab w:leader="none" w:pos="652"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No Re-employment</w:t>
      </w:r>
      <w:r>
        <w:rPr>
          <w:rFonts w:ascii="Arial" w:cs="Arial" w:eastAsia="Arial" w:hAnsi="Arial"/>
          <w:sz w:val="20"/>
          <w:szCs w:val="20"/>
          <w:color w:val="auto"/>
        </w:rPr>
        <w:t>. Employee waives any right or claim of re</w:t>
      </w:r>
      <w:r>
        <w:rPr>
          <w:rFonts w:ascii="MS PGothic" w:cs="MS PGothic" w:eastAsia="MS PGothic" w:hAnsi="MS PGothic"/>
          <w:sz w:val="20"/>
          <w:szCs w:val="20"/>
          <w:color w:val="auto"/>
        </w:rPr>
        <w:t>‑</w:t>
      </w:r>
      <w:r>
        <w:rPr>
          <w:rFonts w:ascii="Arial" w:cs="Arial" w:eastAsia="Arial" w:hAnsi="Arial"/>
          <w:sz w:val="20"/>
          <w:szCs w:val="20"/>
          <w:color w:val="auto"/>
        </w:rPr>
        <w:t>employment with Gentex and its affiliates after the expiration of the Employment Agreement and agrees to make no claim or application for such employment in the future. If Employee does seek such employment, neither Gentex, nor any corporation or organization affiliated with or successor to Gentex is in any way obligated to consider Employee for employment.</w:t>
      </w:r>
    </w:p>
    <w:p>
      <w:pPr>
        <w:spacing w:after="0" w:line="156" w:lineRule="exact"/>
        <w:rPr>
          <w:rFonts w:ascii="Arial" w:cs="Arial" w:eastAsia="Arial" w:hAnsi="Arial"/>
          <w:sz w:val="20"/>
          <w:szCs w:val="20"/>
          <w:color w:val="auto"/>
        </w:rPr>
      </w:pPr>
    </w:p>
    <w:p>
      <w:pPr>
        <w:jc w:val="both"/>
        <w:ind w:left="652" w:right="740" w:hanging="652"/>
        <w:spacing w:after="0" w:line="243" w:lineRule="auto"/>
        <w:tabs>
          <w:tab w:leader="none" w:pos="652"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and its releases apply not only to Gentex, but to all divisions, affiliated entities, and purchasers of substantially all of the stock or assets of Gentex, and to the predecessors, assigns, agents, officers, directors, shareholders, employees and other representatives of each.</w:t>
      </w:r>
    </w:p>
    <w:p>
      <w:pPr>
        <w:spacing w:after="0" w:line="152" w:lineRule="exact"/>
        <w:rPr>
          <w:rFonts w:ascii="Arial" w:cs="Arial" w:eastAsia="Arial" w:hAnsi="Arial"/>
          <w:sz w:val="20"/>
          <w:szCs w:val="20"/>
          <w:color w:val="auto"/>
        </w:rPr>
      </w:pPr>
    </w:p>
    <w:p>
      <w:pPr>
        <w:ind w:left="652" w:right="380" w:hanging="652"/>
        <w:spacing w:after="0" w:line="247" w:lineRule="auto"/>
        <w:tabs>
          <w:tab w:leader="none" w:pos="652"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of any paragraph or subparagraph of this Agreement shall not affect the validity of any other paragraph or subparagraph of this Agreement.</w:t>
      </w:r>
    </w:p>
    <w:p>
      <w:pPr>
        <w:spacing w:after="0" w:line="147" w:lineRule="exact"/>
        <w:rPr>
          <w:rFonts w:ascii="Arial" w:cs="Arial" w:eastAsia="Arial" w:hAnsi="Arial"/>
          <w:sz w:val="20"/>
          <w:szCs w:val="20"/>
          <w:color w:val="auto"/>
        </w:rPr>
      </w:pPr>
    </w:p>
    <w:p>
      <w:pPr>
        <w:ind w:left="652" w:right="40" w:hanging="652"/>
        <w:spacing w:after="0"/>
        <w:tabs>
          <w:tab w:leader="none" w:pos="652"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Warrants</w:t>
      </w:r>
      <w:r>
        <w:rPr>
          <w:rFonts w:ascii="Arial" w:cs="Arial" w:eastAsia="Arial" w:hAnsi="Arial"/>
          <w:sz w:val="20"/>
          <w:szCs w:val="20"/>
          <w:color w:val="auto"/>
        </w:rPr>
        <w:t>. Employee hereby represents and warrants that to the best of his knowledge that he has performed his duties as Chief Executive Officer and Chairman of the Board in accordance with Gentex’s Code of Business Conduct and Ethics, Gentex’s Code of Ethics for Certain Senior Officers, and applicable laws and regulations, and that he has no knowledge of any regulatory violations, or other potentially illegal activity or other wrongdoing by any employee of the Company. Employee further certifies that no filing of Form 5 (Annual Statement of Changes in Beneficial Ownership of Securities) is required by Employee as of the Effective Date. Employee is responsible for filing any required Forms 4 and 144.</w:t>
      </w:r>
    </w:p>
    <w:p>
      <w:pPr>
        <w:spacing w:after="0" w:line="159" w:lineRule="exact"/>
        <w:rPr>
          <w:rFonts w:ascii="Arial" w:cs="Arial" w:eastAsia="Arial" w:hAnsi="Arial"/>
          <w:sz w:val="20"/>
          <w:szCs w:val="20"/>
          <w:color w:val="auto"/>
        </w:rPr>
      </w:pPr>
    </w:p>
    <w:p>
      <w:pPr>
        <w:ind w:left="652" w:hanging="652"/>
        <w:spacing w:after="0" w:line="256" w:lineRule="auto"/>
        <w:tabs>
          <w:tab w:leader="none" w:pos="652"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Applicable Law</w:t>
      </w:r>
      <w:r>
        <w:rPr>
          <w:rFonts w:ascii="Arial" w:cs="Arial" w:eastAsia="Arial" w:hAnsi="Arial"/>
          <w:sz w:val="19"/>
          <w:szCs w:val="19"/>
          <w:color w:val="auto"/>
        </w:rPr>
        <w:t>. This Agreement shall be construed under the laws of the State of Michigan without regard to its conflicts of law provisions. The Parties agree that any judicial action involving a dispute arising under this Agreement will be filed, heard and decided in the Ottawa County Circuit Court or the U.S. federal district court for such geographic area. The Parties agree that they will subject themselves to the personal jurisdiction and venue of either court, regardless of where Employee or the Company may be located at the time any action may be commenced. The Parties agree that the locations specified above are mutually convenient forums and that each of the Parties conducts business in Ottawa County.</w:t>
      </w:r>
    </w:p>
    <w:p>
      <w:pPr>
        <w:spacing w:after="0" w:line="141" w:lineRule="exact"/>
        <w:rPr>
          <w:rFonts w:ascii="Arial" w:cs="Arial" w:eastAsia="Arial" w:hAnsi="Arial"/>
          <w:sz w:val="19"/>
          <w:szCs w:val="19"/>
          <w:color w:val="auto"/>
        </w:rPr>
      </w:pPr>
    </w:p>
    <w:p>
      <w:pPr>
        <w:ind w:left="652" w:hanging="652"/>
        <w:spacing w:after="0"/>
        <w:tabs>
          <w:tab w:leader="none" w:pos="652"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Except for the Employment Agreement effective as of January 1, 2018 (the “Employment Agreement”) and the Redemption Agreement (collectively, the “Additional Agreements”) and Employee’s stock option award agreements: (a) this Agreement contains the entire understanding of the Parties and supersedes all previous verbal and written agreements; and (b) there are no other agreements, representations or warranties not referenced or set forth in this Agreement. This Agreement shall only be altered, modified, or amended in writing signed by the Parties. In the event of a conflict between this Agreement and the Redemption Agreement, the terms of this Agreement shall govern. The Parties agree that the execution of the Additional Agreements are among the conditions precedent to the Parties’ agreeing to enter into this Agreement.</w:t>
      </w:r>
    </w:p>
    <w:p>
      <w:pPr>
        <w:sectPr>
          <w:pgSz w:w="11900" w:h="16838" w:orient="portrait"/>
          <w:cols w:equalWidth="0" w:num="1">
            <w:col w:w="11392"/>
          </w:cols>
          <w:pgMar w:left="248" w:top="771" w:right="259" w:bottom="1440" w:gutter="0" w:footer="0" w:header="0"/>
        </w:sectPr>
      </w:pPr>
    </w:p>
    <w:bookmarkStart w:id="76" w:name="page77"/>
    <w:bookmarkEnd w:id="76"/>
    <w:p>
      <w:pPr>
        <w:ind w:left="660" w:hanging="652"/>
        <w:spacing w:after="0" w:line="242"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It is intended that any amounts payable under this Agreement will be exempt from or comply with Section 409A of the Internal Revenue Code of 1986, as amended (the “Code”), and treasury regulations relating thereto, so as not to subject Employee to the payment of any interest and tax penalty which may be imposed under Section 409A of the Code, and this Agreement shall be interpreted and construed accordingly where possible.</w:t>
      </w:r>
    </w:p>
    <w:p>
      <w:pPr>
        <w:spacing w:after="0" w:line="152" w:lineRule="exact"/>
        <w:rPr>
          <w:rFonts w:ascii="Arial" w:cs="Arial" w:eastAsia="Arial" w:hAnsi="Arial"/>
          <w:sz w:val="20"/>
          <w:szCs w:val="20"/>
          <w:color w:val="auto"/>
        </w:rPr>
      </w:pPr>
    </w:p>
    <w:p>
      <w:pPr>
        <w:ind w:left="660" w:right="140" w:hanging="652"/>
        <w:spacing w:after="0" w:line="241"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 This Agreement may be executed in counterparts, together such counterparts comprise one and the same binding Agreement. Executed signatures may be exchanged electronically between the Parties, and such counterpart shall be effective and have the same effect as the original. The headings in this Agreement are for convenience of the Parties only, and shall not be considered when interpreting or applying the provisions of this Agreement.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signed this Agreement as of the Effective Date.</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60" w:type="dxa"/>
            <w:vAlign w:val="bottom"/>
            <w:gridSpan w:val="3"/>
          </w:tcPr>
          <w:p>
            <w:pPr>
              <w:spacing w:after="0"/>
              <w:rPr>
                <w:sz w:val="20"/>
                <w:szCs w:val="20"/>
                <w:color w:val="auto"/>
              </w:rPr>
            </w:pPr>
            <w:r>
              <w:rPr>
                <w:rFonts w:ascii="Arial" w:cs="Arial" w:eastAsia="Arial" w:hAnsi="Arial"/>
                <w:sz w:val="20"/>
                <w:szCs w:val="20"/>
                <w:color w:val="auto"/>
              </w:rPr>
              <w:t>FRED T. BAUER</w:t>
            </w:r>
          </w:p>
        </w:tc>
        <w:tc>
          <w:tcPr>
            <w:tcW w:w="4420" w:type="dxa"/>
            <w:vAlign w:val="bottom"/>
            <w:gridSpan w:val="6"/>
          </w:tcPr>
          <w:p>
            <w:pPr>
              <w:ind w:left="340"/>
              <w:spacing w:after="0"/>
              <w:rPr>
                <w:sz w:val="20"/>
                <w:szCs w:val="20"/>
                <w:color w:val="auto"/>
              </w:rPr>
            </w:pPr>
            <w:r>
              <w:rPr>
                <w:rFonts w:ascii="Arial" w:cs="Arial" w:eastAsia="Arial" w:hAnsi="Arial"/>
                <w:sz w:val="20"/>
                <w:szCs w:val="20"/>
                <w:color w:val="auto"/>
              </w:rPr>
              <w:t>GENTEX CORPORATION</w:t>
            </w:r>
          </w:p>
        </w:tc>
      </w:tr>
      <w:tr>
        <w:trPr>
          <w:trHeight w:val="401"/>
        </w:trPr>
        <w:tc>
          <w:tcPr>
            <w:tcW w:w="2600" w:type="dxa"/>
            <w:vAlign w:val="bottom"/>
            <w:gridSpan w:val="4"/>
          </w:tcPr>
          <w:p>
            <w:pPr>
              <w:spacing w:after="0"/>
              <w:rPr>
                <w:sz w:val="20"/>
                <w:szCs w:val="20"/>
                <w:color w:val="auto"/>
              </w:rPr>
            </w:pPr>
            <w:r>
              <w:rPr>
                <w:rFonts w:ascii="Arial" w:cs="Arial" w:eastAsia="Arial" w:hAnsi="Arial"/>
                <w:sz w:val="20"/>
                <w:szCs w:val="20"/>
                <w:color w:val="auto"/>
              </w:rPr>
              <w:t>Signature: /s/ Fred T. Bauer</w:t>
            </w:r>
          </w:p>
        </w:tc>
        <w:tc>
          <w:tcPr>
            <w:tcW w:w="480" w:type="dxa"/>
            <w:vAlign w:val="bottom"/>
          </w:tcPr>
          <w:p>
            <w:pPr>
              <w:spacing w:after="0"/>
              <w:rPr>
                <w:sz w:val="24"/>
                <w:szCs w:val="24"/>
                <w:color w:val="auto"/>
              </w:rPr>
            </w:pPr>
          </w:p>
        </w:tc>
        <w:tc>
          <w:tcPr>
            <w:tcW w:w="3400" w:type="dxa"/>
            <w:vAlign w:val="bottom"/>
            <w:gridSpan w:val="4"/>
          </w:tcPr>
          <w:p>
            <w:pPr>
              <w:ind w:left="180"/>
              <w:spacing w:after="0"/>
              <w:rPr>
                <w:sz w:val="20"/>
                <w:szCs w:val="20"/>
                <w:color w:val="auto"/>
              </w:rPr>
            </w:pPr>
            <w:r>
              <w:rPr>
                <w:rFonts w:ascii="Arial" w:cs="Arial" w:eastAsia="Arial" w:hAnsi="Arial"/>
                <w:sz w:val="20"/>
                <w:szCs w:val="20"/>
                <w:color w:val="auto"/>
              </w:rPr>
              <w:t>Signature: /s/ James Wallace</w:t>
            </w: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426"/>
        </w:trPr>
        <w:tc>
          <w:tcPr>
            <w:tcW w:w="2060" w:type="dxa"/>
            <w:vAlign w:val="bottom"/>
            <w:gridSpan w:val="3"/>
          </w:tcPr>
          <w:p>
            <w:pPr>
              <w:spacing w:after="0"/>
              <w:rPr>
                <w:sz w:val="20"/>
                <w:szCs w:val="20"/>
                <w:color w:val="auto"/>
              </w:rPr>
            </w:pPr>
            <w:r>
              <w:rPr>
                <w:rFonts w:ascii="Arial" w:cs="Arial" w:eastAsia="Arial" w:hAnsi="Arial"/>
                <w:sz w:val="20"/>
                <w:szCs w:val="20"/>
                <w:color w:val="auto"/>
              </w:rPr>
              <w:t>Print: Fred T. Bauer</w:t>
            </w:r>
          </w:p>
        </w:tc>
        <w:tc>
          <w:tcPr>
            <w:tcW w:w="540" w:type="dxa"/>
            <w:vAlign w:val="bottom"/>
          </w:tcPr>
          <w:p>
            <w:pPr>
              <w:spacing w:after="0"/>
              <w:rPr>
                <w:sz w:val="24"/>
                <w:szCs w:val="24"/>
                <w:color w:val="auto"/>
              </w:rPr>
            </w:pPr>
          </w:p>
        </w:tc>
        <w:tc>
          <w:tcPr>
            <w:tcW w:w="3880" w:type="dxa"/>
            <w:vAlign w:val="bottom"/>
            <w:gridSpan w:val="5"/>
          </w:tcPr>
          <w:p>
            <w:pPr>
              <w:ind w:left="240"/>
              <w:spacing w:after="0"/>
              <w:rPr>
                <w:sz w:val="20"/>
                <w:szCs w:val="20"/>
                <w:color w:val="auto"/>
              </w:rPr>
            </w:pPr>
            <w:r>
              <w:rPr>
                <w:rFonts w:ascii="Arial" w:cs="Arial" w:eastAsia="Arial" w:hAnsi="Arial"/>
                <w:sz w:val="20"/>
                <w:szCs w:val="20"/>
                <w:color w:val="auto"/>
              </w:rPr>
              <w:t>Print: James Wallace, Chairman</w:t>
            </w:r>
          </w:p>
        </w:tc>
      </w:tr>
      <w:tr>
        <w:trPr>
          <w:trHeight w:val="20"/>
        </w:trPr>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ectPr>
          <w:pgSz w:w="11900" w:h="16838" w:orient="portrait"/>
          <w:cols w:equalWidth="0" w:num="1">
            <w:col w:w="11320"/>
          </w:cols>
          <w:pgMar w:left="240" w:top="757"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20"/>
          <w:szCs w:val="20"/>
          <w:b w:val="1"/>
          <w:bCs w:val="1"/>
          <w:color w:val="auto"/>
        </w:rPr>
        <w:t>EMPLOYMENT AGREEMENT</w:t>
      </w:r>
    </w:p>
    <w:p>
      <w:pPr>
        <w:spacing w:after="0" w:line="200" w:lineRule="exact"/>
        <w:rPr>
          <w:sz w:val="20"/>
          <w:szCs w:val="20"/>
          <w:color w:val="auto"/>
        </w:rPr>
      </w:pPr>
    </w:p>
    <w:p>
      <w:pPr>
        <w:spacing w:after="0" w:line="256" w:lineRule="exact"/>
        <w:rPr>
          <w:sz w:val="20"/>
          <w:szCs w:val="20"/>
          <w:color w:val="auto"/>
        </w:rPr>
      </w:pPr>
    </w:p>
    <w:p>
      <w:pPr>
        <w:ind w:right="80" w:firstLine="1297"/>
        <w:spacing w:after="0" w:line="262" w:lineRule="auto"/>
        <w:rPr>
          <w:sz w:val="20"/>
          <w:szCs w:val="20"/>
          <w:color w:val="auto"/>
        </w:rPr>
      </w:pPr>
      <w:r>
        <w:rPr>
          <w:rFonts w:ascii="Arial" w:cs="Arial" w:eastAsia="Arial" w:hAnsi="Arial"/>
          <w:sz w:val="19"/>
          <w:szCs w:val="19"/>
          <w:color w:val="auto"/>
        </w:rPr>
        <w:t>THIS EMPLOYMENT AGREEMENT (“Agreement”) is effective as of January 1, 2018 (“Effective Date”), between Gentex Corporation (“Gentex” or “Company”) having a place of business at 600 N. Centennial St. Zeeland, Michigan 49464 and Fred T. Bauer, having employee number 300000010 (“Employee”) (individually referred to as “Party” and collectively as “Parties”).</w:t>
      </w:r>
    </w:p>
    <w:p>
      <w:pPr>
        <w:spacing w:after="0" w:line="189" w:lineRule="exact"/>
        <w:rPr>
          <w:sz w:val="20"/>
          <w:szCs w:val="20"/>
          <w:color w:val="auto"/>
        </w:rPr>
      </w:pPr>
    </w:p>
    <w:p>
      <w:pPr>
        <w:ind w:right="600" w:firstLine="1297"/>
        <w:spacing w:after="0" w:line="243" w:lineRule="auto"/>
        <w:rPr>
          <w:sz w:val="20"/>
          <w:szCs w:val="20"/>
          <w:color w:val="auto"/>
        </w:rPr>
      </w:pPr>
      <w:r>
        <w:rPr>
          <w:rFonts w:ascii="Arial" w:cs="Arial" w:eastAsia="Arial" w:hAnsi="Arial"/>
          <w:sz w:val="20"/>
          <w:szCs w:val="20"/>
          <w:color w:val="auto"/>
        </w:rPr>
        <w:t>WHEREAS, the Company and Employee have entered into the CEO and Chairman Retirement and Release Agreement having an effective date of December 31, 2017 (“Retirement Agreement”) and that certain Stock Redemption Agreement (“Redemption Agreement”); and</w:t>
      </w:r>
    </w:p>
    <w:p>
      <w:pPr>
        <w:spacing w:after="0" w:line="206" w:lineRule="exact"/>
        <w:rPr>
          <w:sz w:val="20"/>
          <w:szCs w:val="20"/>
          <w:color w:val="auto"/>
        </w:rPr>
      </w:pPr>
    </w:p>
    <w:p>
      <w:pPr>
        <w:ind w:left="1300" w:right="760"/>
        <w:spacing w:after="0" w:line="465" w:lineRule="auto"/>
        <w:rPr>
          <w:sz w:val="20"/>
          <w:szCs w:val="20"/>
          <w:color w:val="auto"/>
        </w:rPr>
      </w:pPr>
      <w:r>
        <w:rPr>
          <w:rFonts w:ascii="Arial" w:cs="Arial" w:eastAsia="Arial" w:hAnsi="Arial"/>
          <w:sz w:val="20"/>
          <w:szCs w:val="20"/>
          <w:color w:val="auto"/>
        </w:rPr>
        <w:t>WHEREAS, Employee is willing to serve in the employ of the Company as provided in this Agreement; and WHEREAS, Employee will no longer be an employee of Gentex at the expiration of this Agreement.</w:t>
      </w:r>
    </w:p>
    <w:p>
      <w:pPr>
        <w:ind w:firstLine="1297"/>
        <w:spacing w:after="0" w:line="247" w:lineRule="auto"/>
        <w:rPr>
          <w:sz w:val="20"/>
          <w:szCs w:val="20"/>
          <w:color w:val="auto"/>
        </w:rPr>
      </w:pPr>
      <w:r>
        <w:rPr>
          <w:rFonts w:ascii="Arial" w:cs="Arial" w:eastAsia="Arial" w:hAnsi="Arial"/>
          <w:sz w:val="20"/>
          <w:szCs w:val="20"/>
          <w:color w:val="auto"/>
        </w:rPr>
        <w:t>NOW, THEREFORE, for good and valuable consideration, wherein the Parties hereby acknowledge the receipt and sufficiency of the consideration, the Parties agree as follows.</w:t>
      </w:r>
    </w:p>
    <w:p>
      <w:pPr>
        <w:spacing w:after="0" w:line="178" w:lineRule="exact"/>
        <w:rPr>
          <w:sz w:val="20"/>
          <w:szCs w:val="20"/>
          <w:color w:val="auto"/>
        </w:rPr>
      </w:pPr>
    </w:p>
    <w:p>
      <w:pPr>
        <w:ind w:right="360" w:firstLine="656"/>
        <w:spacing w:after="0" w:line="272" w:lineRule="auto"/>
        <w:tabs>
          <w:tab w:leader="none" w:pos="1048" w:val="left"/>
        </w:tabs>
        <w:numPr>
          <w:ilvl w:val="0"/>
          <w:numId w:val="56"/>
        </w:numPr>
        <w:rPr>
          <w:rFonts w:ascii="Arial" w:cs="Arial" w:eastAsia="Arial" w:hAnsi="Arial"/>
          <w:sz w:val="20"/>
          <w:szCs w:val="20"/>
          <w:color w:val="auto"/>
        </w:rPr>
      </w:pPr>
      <w:r>
        <w:rPr>
          <w:rFonts w:ascii="Arial" w:cs="Arial" w:eastAsia="Arial" w:hAnsi="Arial"/>
          <w:sz w:val="20"/>
          <w:szCs w:val="20"/>
          <w:b w:val="1"/>
          <w:bCs w:val="1"/>
          <w:color w:val="auto"/>
        </w:rPr>
        <w:t xml:space="preserve">Effective Date and Term. </w:t>
      </w:r>
      <w:r>
        <w:rPr>
          <w:rFonts w:ascii="Arial" w:cs="Arial" w:eastAsia="Arial" w:hAnsi="Arial"/>
          <w:sz w:val="20"/>
          <w:szCs w:val="20"/>
          <w:color w:val="auto"/>
        </w:rPr>
        <w:t>The term of this Agreement will be five (5) years, and will expire on December 31, 2022</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 unless earlier terminated as set forth herein.</w:t>
      </w:r>
    </w:p>
    <w:p>
      <w:pPr>
        <w:spacing w:after="0" w:line="153" w:lineRule="exact"/>
        <w:rPr>
          <w:rFonts w:ascii="Arial" w:cs="Arial" w:eastAsia="Arial" w:hAnsi="Arial"/>
          <w:sz w:val="20"/>
          <w:szCs w:val="20"/>
          <w:color w:val="auto"/>
        </w:rPr>
      </w:pPr>
    </w:p>
    <w:p>
      <w:pPr>
        <w:jc w:val="both"/>
        <w:ind w:right="60" w:firstLine="656"/>
        <w:spacing w:after="0" w:line="250" w:lineRule="auto"/>
        <w:tabs>
          <w:tab w:leader="none" w:pos="1048" w:val="left"/>
        </w:tabs>
        <w:numPr>
          <w:ilvl w:val="0"/>
          <w:numId w:val="56"/>
        </w:numPr>
        <w:rPr>
          <w:rFonts w:ascii="Arial" w:cs="Arial" w:eastAsia="Arial" w:hAnsi="Arial"/>
          <w:sz w:val="20"/>
          <w:szCs w:val="20"/>
          <w:color w:val="auto"/>
        </w:rPr>
      </w:pPr>
      <w:r>
        <w:rPr>
          <w:rFonts w:ascii="Arial" w:cs="Arial" w:eastAsia="Arial" w:hAnsi="Arial"/>
          <w:sz w:val="20"/>
          <w:szCs w:val="20"/>
          <w:b w:val="1"/>
          <w:bCs w:val="1"/>
          <w:color w:val="auto"/>
        </w:rPr>
        <w:t xml:space="preserve">Employment. </w:t>
      </w:r>
      <w:r>
        <w:rPr>
          <w:rFonts w:ascii="Arial" w:cs="Arial" w:eastAsia="Arial" w:hAnsi="Arial"/>
          <w:sz w:val="20"/>
          <w:szCs w:val="20"/>
          <w:color w:val="auto"/>
        </w:rPr>
        <w:t>During the Term, Employee will be an employee of the Company and serve as an employee consultant</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title of Chairman Emeritus, Founder, and Advisor of the Corporation and report to the Board of Directors of the Company. During the Term, Employee’s duties are to be reasonably available to be contacted for information regarding Gentex on an as-needed basis.</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56"/>
        </w:numPr>
        <w:rPr>
          <w:rFonts w:ascii="Arial" w:cs="Arial" w:eastAsia="Arial" w:hAnsi="Arial"/>
          <w:sz w:val="20"/>
          <w:szCs w:val="20"/>
          <w:color w:val="auto"/>
        </w:rPr>
      </w:pPr>
      <w:r>
        <w:rPr>
          <w:rFonts w:ascii="Arial" w:cs="Arial" w:eastAsia="Arial" w:hAnsi="Arial"/>
          <w:sz w:val="20"/>
          <w:szCs w:val="20"/>
          <w:b w:val="1"/>
          <w:bCs w:val="1"/>
          <w:color w:val="auto"/>
        </w:rPr>
        <w:t xml:space="preserve">Compensation. </w:t>
      </w:r>
      <w:r>
        <w:rPr>
          <w:rFonts w:ascii="Arial" w:cs="Arial" w:eastAsia="Arial" w:hAnsi="Arial"/>
          <w:sz w:val="20"/>
          <w:szCs w:val="20"/>
          <w:color w:val="auto"/>
        </w:rPr>
        <w:t>Employee will be compensated during the Term as follows:</w:t>
      </w:r>
    </w:p>
    <w:p>
      <w:pPr>
        <w:spacing w:after="0" w:line="215" w:lineRule="exact"/>
        <w:rPr>
          <w:rFonts w:ascii="Arial" w:cs="Arial" w:eastAsia="Arial" w:hAnsi="Arial"/>
          <w:sz w:val="20"/>
          <w:szCs w:val="20"/>
          <w:color w:val="auto"/>
        </w:rPr>
      </w:pPr>
    </w:p>
    <w:p>
      <w:pPr>
        <w:ind w:left="660" w:firstLine="645"/>
        <w:spacing w:after="0" w:line="272" w:lineRule="auto"/>
        <w:tabs>
          <w:tab w:leader="none" w:pos="1730" w:val="left"/>
        </w:tabs>
        <w:numPr>
          <w:ilvl w:val="1"/>
          <w:numId w:val="56"/>
        </w:numPr>
        <w:rPr>
          <w:rFonts w:ascii="Arial" w:cs="Arial" w:eastAsia="Arial" w:hAnsi="Arial"/>
          <w:sz w:val="20"/>
          <w:szCs w:val="20"/>
          <w:color w:val="auto"/>
        </w:rPr>
      </w:pPr>
      <w:r>
        <w:rPr>
          <w:rFonts w:ascii="Arial" w:cs="Arial" w:eastAsia="Arial" w:hAnsi="Arial"/>
          <w:sz w:val="20"/>
          <w:szCs w:val="20"/>
          <w:b w:val="1"/>
          <w:bCs w:val="1"/>
          <w:color w:val="auto"/>
        </w:rPr>
        <w:t xml:space="preserve">Salary. </w:t>
      </w:r>
      <w:r>
        <w:rPr>
          <w:rFonts w:ascii="Arial" w:cs="Arial" w:eastAsia="Arial" w:hAnsi="Arial"/>
          <w:sz w:val="20"/>
          <w:szCs w:val="20"/>
          <w:color w:val="auto"/>
        </w:rPr>
        <w:t>Employee’s annual salary will be paid on normal payroll dates and will be less required deductions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tax withholdings. The Employee will be paid the following annual amounts:</w:t>
      </w:r>
    </w:p>
    <w:p>
      <w:pPr>
        <w:spacing w:after="0" w:line="178"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January 1, 2018 - December 31, 2018 - $595,906.48</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January 1, 2019 - December 31, 2019 - $446,929.86</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January 1, 2020 - December 31, 2020 - $446,929.86</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January 1, 2021 - December 31, 2021 - $297,953.24</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January 1, 2022 - December 31, 2022 - $297,953.24</w:t>
      </w:r>
    </w:p>
    <w:p>
      <w:pPr>
        <w:spacing w:after="0" w:line="192" w:lineRule="exact"/>
        <w:rPr>
          <w:sz w:val="20"/>
          <w:szCs w:val="20"/>
          <w:color w:val="auto"/>
        </w:rPr>
      </w:pPr>
    </w:p>
    <w:p>
      <w:pPr>
        <w:ind w:left="660" w:right="20" w:firstLine="645"/>
        <w:spacing w:after="0" w:line="250" w:lineRule="auto"/>
        <w:tabs>
          <w:tab w:leader="none" w:pos="1730"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 xml:space="preserve">Bonus. </w:t>
      </w:r>
      <w:r>
        <w:rPr>
          <w:rFonts w:ascii="Arial" w:cs="Arial" w:eastAsia="Arial" w:hAnsi="Arial"/>
          <w:sz w:val="20"/>
          <w:szCs w:val="20"/>
          <w:color w:val="auto"/>
        </w:rPr>
        <w:t>Employee is not eligible for any of the Company’s bonus programs with respect to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periods during the Term, but he will remain eligible and will receive the profit-sharing and performance-based bonuses with respect to 2017 that have been paid or are payable in 2018 in accordance with the terms and conditions generally applicable with respect to such bonuses.</w:t>
      </w:r>
    </w:p>
    <w:p>
      <w:pPr>
        <w:spacing w:after="0" w:line="176" w:lineRule="exact"/>
        <w:rPr>
          <w:rFonts w:ascii="Arial" w:cs="Arial" w:eastAsia="Arial" w:hAnsi="Arial"/>
          <w:sz w:val="20"/>
          <w:szCs w:val="20"/>
          <w:color w:val="auto"/>
        </w:rPr>
      </w:pPr>
    </w:p>
    <w:p>
      <w:pPr>
        <w:ind w:left="660" w:firstLine="645"/>
        <w:spacing w:after="0" w:line="250" w:lineRule="auto"/>
        <w:tabs>
          <w:tab w:leader="none" w:pos="1719"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 xml:space="preserve">Equity Plans. </w:t>
      </w:r>
      <w:r>
        <w:rPr>
          <w:rFonts w:ascii="Arial" w:cs="Arial" w:eastAsia="Arial" w:hAnsi="Arial"/>
          <w:sz w:val="20"/>
          <w:szCs w:val="20"/>
          <w:color w:val="auto"/>
        </w:rPr>
        <w:t>Employee’s outstanding stock options will continue to vest during the Term per Gentex’s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Stock Option Plan and the applicable award agreements. Employee’s vested stock options, including options vesting during the Term, must be exercised on the earlier of (i) prior to the vested options expiration date or (ii) on or before the close of ninety</w:t>
      </w:r>
    </w:p>
    <w:p>
      <w:pPr>
        <w:sectPr>
          <w:pgSz w:w="11900" w:h="16838" w:orient="portrait"/>
          <w:cols w:equalWidth="0" w:num="1">
            <w:col w:w="11400"/>
          </w:cols>
          <w:pgMar w:left="240" w:top="571" w:right="259" w:bottom="1440" w:gutter="0" w:footer="0" w:header="0"/>
        </w:sectPr>
      </w:pPr>
    </w:p>
    <w:bookmarkStart w:id="78" w:name="page79"/>
    <w:bookmarkEnd w:id="78"/>
    <w:p>
      <w:pPr>
        <w:ind w:left="4" w:right="100" w:hanging="4"/>
        <w:spacing w:after="0" w:line="241" w:lineRule="auto"/>
        <w:tabs>
          <w:tab w:leader="none" w:pos="411" w:val="left"/>
        </w:tabs>
        <w:numPr>
          <w:ilvl w:val="0"/>
          <w:numId w:val="58"/>
        </w:numPr>
        <w:rPr>
          <w:rFonts w:ascii="Arial" w:cs="Arial" w:eastAsia="Arial" w:hAnsi="Arial"/>
          <w:sz w:val="20"/>
          <w:szCs w:val="20"/>
          <w:color w:val="auto"/>
        </w:rPr>
      </w:pPr>
      <w:r>
        <w:rPr>
          <w:rFonts w:ascii="Arial" w:cs="Arial" w:eastAsia="Arial" w:hAnsi="Arial"/>
          <w:sz w:val="20"/>
          <w:szCs w:val="20"/>
          <w:color w:val="auto"/>
        </w:rPr>
        <w:t>business days after the expiration of the Term, or the vested stock options are forfeited per Gentex’s Employee Stock Option Plan. Employee will not be granted stock options during the Term. Employee must adhere to Gentex’s policies regarding blackout periods to the extent applicable to non-officer employees of the Company and abide by Gentex’s policies on refraining from trading on insider information, provided that the Company has given Employee sufficient prior notice of any changes to such policies that occur during the Term.</w:t>
      </w:r>
    </w:p>
    <w:p>
      <w:pPr>
        <w:spacing w:after="0" w:line="185" w:lineRule="exact"/>
        <w:rPr>
          <w:rFonts w:ascii="Arial" w:cs="Arial" w:eastAsia="Arial" w:hAnsi="Arial"/>
          <w:sz w:val="20"/>
          <w:szCs w:val="20"/>
          <w:color w:val="auto"/>
        </w:rPr>
      </w:pPr>
    </w:p>
    <w:p>
      <w:pPr>
        <w:ind w:left="1124" w:hanging="475"/>
        <w:spacing w:after="0"/>
        <w:tabs>
          <w:tab w:leader="none" w:pos="1124" w:val="left"/>
        </w:tabs>
        <w:numPr>
          <w:ilvl w:val="1"/>
          <w:numId w:val="58"/>
        </w:numPr>
        <w:rPr>
          <w:rFonts w:ascii="Arial" w:cs="Arial" w:eastAsia="Arial" w:hAnsi="Arial"/>
          <w:sz w:val="20"/>
          <w:szCs w:val="20"/>
          <w:color w:val="auto"/>
        </w:rPr>
      </w:pPr>
      <w:r>
        <w:rPr>
          <w:rFonts w:ascii="Arial" w:cs="Arial" w:eastAsia="Arial" w:hAnsi="Arial"/>
          <w:sz w:val="20"/>
          <w:szCs w:val="20"/>
          <w:b w:val="1"/>
          <w:bCs w:val="1"/>
          <w:color w:val="auto"/>
        </w:rPr>
        <w:t xml:space="preserve">Fringe Benefits. </w:t>
      </w:r>
      <w:r>
        <w:rPr>
          <w:rFonts w:ascii="Arial" w:cs="Arial" w:eastAsia="Arial" w:hAnsi="Arial"/>
          <w:sz w:val="20"/>
          <w:szCs w:val="20"/>
          <w:color w:val="auto"/>
        </w:rPr>
        <w:t>Employee will receive the additional fringe benefits:</w:t>
      </w:r>
    </w:p>
    <w:p>
      <w:pPr>
        <w:spacing w:after="0" w:line="239" w:lineRule="exact"/>
        <w:rPr>
          <w:rFonts w:ascii="Arial" w:cs="Arial" w:eastAsia="Arial" w:hAnsi="Arial"/>
          <w:sz w:val="20"/>
          <w:szCs w:val="20"/>
          <w:color w:val="auto"/>
        </w:rPr>
      </w:pPr>
    </w:p>
    <w:p>
      <w:pPr>
        <w:ind w:left="644" w:firstLine="653"/>
        <w:spacing w:after="0" w:line="255" w:lineRule="auto"/>
        <w:tabs>
          <w:tab w:leader="none" w:pos="1648" w:val="left"/>
        </w:tabs>
        <w:numPr>
          <w:ilvl w:val="2"/>
          <w:numId w:val="58"/>
        </w:numPr>
        <w:rPr>
          <w:rFonts w:ascii="Arial" w:cs="Arial" w:eastAsia="Arial" w:hAnsi="Arial"/>
          <w:sz w:val="19"/>
          <w:szCs w:val="19"/>
          <w:color w:val="auto"/>
        </w:rPr>
      </w:pPr>
      <w:r>
        <w:rPr>
          <w:rFonts w:ascii="Arial" w:cs="Arial" w:eastAsia="Arial" w:hAnsi="Arial"/>
          <w:sz w:val="19"/>
          <w:szCs w:val="19"/>
          <w:color w:val="auto"/>
        </w:rPr>
        <w:t>Health Care. Gentex will pay the full cost of Employee’s COBRA coverage. At the expiration of Employee’s COBRA continuation coverage, Employee must enroll in the appropriate Medicare plan and Gentex will pay for a supplemental insurance policy during the Term so as to provide Employee coverage that is substantially equivalent to the coverage offered to Gentex senior executives. Additionally, Gentex will pay for a vision insurance plan and dental insurance plan during the Term that is substantially equivalent to the plans offered to Gentex senior executives. The terms of applicable insurance policies and benefit plans in effect from time to time will govern with regard to specific issues of coverage and benefit eligibility, provided that the Company will not make any change with respect to Employee that it does not also make on a consistent basis for senior executives of the Company.</w:t>
      </w:r>
    </w:p>
    <w:p>
      <w:pPr>
        <w:spacing w:after="0" w:line="195" w:lineRule="exact"/>
        <w:rPr>
          <w:rFonts w:ascii="Arial" w:cs="Arial" w:eastAsia="Arial" w:hAnsi="Arial"/>
          <w:sz w:val="19"/>
          <w:szCs w:val="19"/>
          <w:color w:val="auto"/>
        </w:rPr>
      </w:pPr>
    </w:p>
    <w:p>
      <w:pPr>
        <w:ind w:left="644" w:firstLine="653"/>
        <w:spacing w:after="0"/>
        <w:tabs>
          <w:tab w:leader="none" w:pos="1692" w:val="left"/>
        </w:tabs>
        <w:numPr>
          <w:ilvl w:val="2"/>
          <w:numId w:val="58"/>
        </w:numPr>
        <w:rPr>
          <w:rFonts w:ascii="Arial" w:cs="Arial" w:eastAsia="Arial" w:hAnsi="Arial"/>
          <w:sz w:val="20"/>
          <w:szCs w:val="20"/>
          <w:color w:val="auto"/>
        </w:rPr>
      </w:pPr>
      <w:r>
        <w:rPr>
          <w:rFonts w:ascii="Arial" w:cs="Arial" w:eastAsia="Arial" w:hAnsi="Arial"/>
          <w:sz w:val="20"/>
          <w:szCs w:val="20"/>
          <w:color w:val="auto"/>
        </w:rPr>
        <w:t>Other Benefits. Employee shall be entitled to be treated the same as an executive officer of the Company with respect to existing personal use of corporate assets during the Term and the policies in place with respect thereto as of January 1, 2018, shall not be subject to change for Employee during the Term (except as necessitated by changes in applicable laws, rules, and regulations; provided, however, that any such changes with respect thereto necessitated by changes in laws, rules, or regulations will be applied to Employee in the same manner as such changes are applied to executive officers). The Company confirms that is has provided Employee with true and accurate copies of its policies in effect as of January 1, 2018 with respect to personal use of corporate assets and that the Company’s method for calculating usage costs that was in effect as of September 30, 2017 will remain in effect with respect to Employee during the Term, except as necessitated by any changes in applicable laws, rules, or regulations; provided, however, that any such changes with respect thereto necessitated by changes in laws, rules, or regulations will be applied to Employee in the same manner as such changes are applied to executive officers.</w:t>
      </w:r>
    </w:p>
    <w:p>
      <w:pPr>
        <w:spacing w:after="0" w:line="187" w:lineRule="exact"/>
        <w:rPr>
          <w:rFonts w:ascii="Arial" w:cs="Arial" w:eastAsia="Arial" w:hAnsi="Arial"/>
          <w:sz w:val="20"/>
          <w:szCs w:val="20"/>
          <w:color w:val="auto"/>
        </w:rPr>
      </w:pPr>
    </w:p>
    <w:p>
      <w:pPr>
        <w:ind w:left="1064" w:hanging="415"/>
        <w:spacing w:after="0"/>
        <w:tabs>
          <w:tab w:leader="none" w:pos="1064" w:val="left"/>
        </w:tabs>
        <w:numPr>
          <w:ilvl w:val="1"/>
          <w:numId w:val="58"/>
        </w:numPr>
        <w:rPr>
          <w:rFonts w:ascii="Arial" w:cs="Arial" w:eastAsia="Arial" w:hAnsi="Arial"/>
          <w:sz w:val="20"/>
          <w:szCs w:val="20"/>
          <w:color w:val="auto"/>
        </w:rPr>
      </w:pPr>
      <w:r>
        <w:rPr>
          <w:rFonts w:ascii="Arial" w:cs="Arial" w:eastAsia="Arial" w:hAnsi="Arial"/>
          <w:sz w:val="20"/>
          <w:szCs w:val="20"/>
          <w:b w:val="1"/>
          <w:bCs w:val="1"/>
          <w:color w:val="auto"/>
        </w:rPr>
        <w:t>Paid Time Off</w:t>
      </w:r>
      <w:r>
        <w:rPr>
          <w:rFonts w:ascii="Arial" w:cs="Arial" w:eastAsia="Arial" w:hAnsi="Arial"/>
          <w:sz w:val="20"/>
          <w:szCs w:val="20"/>
          <w:color w:val="auto"/>
        </w:rPr>
        <w:t>. Employee will not accrue vacation days during the Term.</w:t>
      </w:r>
    </w:p>
    <w:p>
      <w:pPr>
        <w:spacing w:after="0" w:line="215" w:lineRule="exact"/>
        <w:rPr>
          <w:rFonts w:ascii="Arial" w:cs="Arial" w:eastAsia="Arial" w:hAnsi="Arial"/>
          <w:sz w:val="20"/>
          <w:szCs w:val="20"/>
          <w:color w:val="auto"/>
        </w:rPr>
      </w:pPr>
    </w:p>
    <w:p>
      <w:pPr>
        <w:ind w:left="4" w:right="60" w:firstLine="645"/>
        <w:spacing w:after="0" w:line="250" w:lineRule="auto"/>
        <w:tabs>
          <w:tab w:leader="none" w:pos="1019" w:val="left"/>
        </w:tabs>
        <w:numPr>
          <w:ilvl w:val="1"/>
          <w:numId w:val="58"/>
        </w:numPr>
        <w:rPr>
          <w:rFonts w:ascii="Arial" w:cs="Arial" w:eastAsia="Arial" w:hAnsi="Arial"/>
          <w:sz w:val="20"/>
          <w:szCs w:val="20"/>
          <w:color w:val="auto"/>
        </w:rPr>
      </w:pPr>
      <w:r>
        <w:rPr>
          <w:rFonts w:ascii="Arial" w:cs="Arial" w:eastAsia="Arial" w:hAnsi="Arial"/>
          <w:sz w:val="20"/>
          <w:szCs w:val="20"/>
          <w:b w:val="1"/>
          <w:bCs w:val="1"/>
          <w:color w:val="auto"/>
        </w:rPr>
        <w:t>Office Space</w:t>
      </w:r>
      <w:r>
        <w:rPr>
          <w:rFonts w:ascii="Arial" w:cs="Arial" w:eastAsia="Arial" w:hAnsi="Arial"/>
          <w:sz w:val="20"/>
          <w:szCs w:val="20"/>
          <w:color w:val="auto"/>
        </w:rPr>
        <w:t>. During the first 3 months of the Term, the Company will permit Employee to maintain his current</w:t>
      </w:r>
      <w:r>
        <w:rPr>
          <w:rFonts w:ascii="Arial" w:cs="Arial" w:eastAsia="Arial" w:hAnsi="Arial"/>
          <w:sz w:val="20"/>
          <w:szCs w:val="20"/>
          <w:b w:val="1"/>
          <w:bCs w:val="1"/>
          <w:color w:val="auto"/>
        </w:rPr>
        <w:t xml:space="preserve"> </w:t>
      </w:r>
      <w:r>
        <w:rPr>
          <w:rFonts w:ascii="Arial" w:cs="Arial" w:eastAsia="Arial" w:hAnsi="Arial"/>
          <w:sz w:val="20"/>
          <w:szCs w:val="20"/>
          <w:color w:val="auto"/>
        </w:rPr>
        <w:t>office, furniture, business equipment and parking garage space within the Company’s headquarters facility. On April 1, 2018, the Company will provide Employee appropriate, in its reasonable discretion, office space, after discussion of the same with Employee, for the remaining duration of the Term.</w:t>
      </w:r>
    </w:p>
    <w:p>
      <w:pPr>
        <w:spacing w:after="0" w:line="176" w:lineRule="exact"/>
        <w:rPr>
          <w:sz w:val="20"/>
          <w:szCs w:val="20"/>
          <w:color w:val="auto"/>
        </w:rPr>
      </w:pPr>
    </w:p>
    <w:p>
      <w:pPr>
        <w:ind w:left="-656" w:right="260" w:firstLine="656"/>
        <w:spacing w:after="0" w:line="255" w:lineRule="auto"/>
        <w:tabs>
          <w:tab w:leader="none" w:pos="392"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 xml:space="preserve">Release and Waiver. </w:t>
      </w:r>
      <w:r>
        <w:rPr>
          <w:rFonts w:ascii="Arial" w:cs="Arial" w:eastAsia="Arial" w:hAnsi="Arial"/>
          <w:sz w:val="20"/>
          <w:szCs w:val="20"/>
          <w:color w:val="auto"/>
        </w:rPr>
        <w:t>In consideration of the benefits set forth in this Agreement, at the expiration of the Term,</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is to sign a release and waiver in the form attached hereto as Exhibit 1; provided, however, that the foregoing will not waive Employee's right to contest a for Cause (as defined below) termination.</w:t>
      </w:r>
    </w:p>
    <w:p>
      <w:pPr>
        <w:spacing w:after="0" w:line="171" w:lineRule="exact"/>
        <w:rPr>
          <w:rFonts w:ascii="Arial" w:cs="Arial" w:eastAsia="Arial" w:hAnsi="Arial"/>
          <w:sz w:val="20"/>
          <w:szCs w:val="20"/>
          <w:color w:val="auto"/>
        </w:rPr>
      </w:pPr>
    </w:p>
    <w:p>
      <w:pPr>
        <w:ind w:left="-656" w:right="120" w:firstLine="656"/>
        <w:spacing w:after="0" w:line="250" w:lineRule="auto"/>
        <w:tabs>
          <w:tab w:leader="none" w:pos="337"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 xml:space="preserve">Termination. </w:t>
      </w:r>
      <w:r>
        <w:rPr>
          <w:rFonts w:ascii="Arial" w:cs="Arial" w:eastAsia="Arial" w:hAnsi="Arial"/>
          <w:sz w:val="20"/>
          <w:szCs w:val="20"/>
          <w:color w:val="auto"/>
        </w:rPr>
        <w:t>The Company may terminate Employee’s employment during the Term only for Cause (as defined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as determined by the Board. For purposes of this Agreement, "Cause" shall mean Employee’s: (a) willful commission of a felony; (b) fraud in the performance of his duties under this Agreement or in employment with the Company prior to the Effective Date (which the Board,</w:t>
      </w:r>
    </w:p>
    <w:p>
      <w:pPr>
        <w:sectPr>
          <w:pgSz w:w="11900" w:h="16838" w:orient="portrait"/>
          <w:cols w:equalWidth="0" w:num="1">
            <w:col w:w="10744"/>
          </w:cols>
          <w:pgMar w:left="896" w:top="595" w:right="259" w:bottom="1440" w:gutter="0" w:footer="0" w:header="0"/>
        </w:sectPr>
      </w:pPr>
    </w:p>
    <w:bookmarkStart w:id="79" w:name="page80"/>
    <w:bookmarkEnd w:id="79"/>
    <w:p>
      <w:pPr>
        <w:ind w:right="60"/>
        <w:spacing w:after="0"/>
        <w:rPr>
          <w:sz w:val="20"/>
          <w:szCs w:val="20"/>
          <w:color w:val="auto"/>
        </w:rPr>
      </w:pPr>
      <w:r>
        <w:rPr>
          <w:rFonts w:ascii="Arial" w:cs="Arial" w:eastAsia="Arial" w:hAnsi="Arial"/>
          <w:sz w:val="20"/>
          <w:szCs w:val="20"/>
          <w:color w:val="auto"/>
        </w:rPr>
        <w:t>other than Employee, acknowledges it has no actual knowledge of as the date hereof); or (c) continuing willful failure to cure any material breach of this Agreement or of Section 11 of the Retirement Agreement (as defined below) after written demand from the Board for performance or compliance has been made to Employee (which shall be made within a reasonable period of time after the Board has actual knowledge of such circumstances) and such breach is not substantially cured within sixty (60) calendar days after Employee’s receipt of such demand. For purposes of this Agreement, “Cause” shall not include any one or more of the following: (x) any act or omission which is taken at the direction of the Board; or (y) any refusal to take any action that, in Employee’s reasonable good faith judgment, would be unlawful or unethical.</w:t>
      </w:r>
    </w:p>
    <w:p>
      <w:pPr>
        <w:spacing w:after="0" w:line="189" w:lineRule="exact"/>
        <w:rPr>
          <w:sz w:val="20"/>
          <w:szCs w:val="20"/>
          <w:color w:val="auto"/>
        </w:rPr>
      </w:pPr>
    </w:p>
    <w:p>
      <w:pPr>
        <w:ind w:right="20" w:firstLine="656"/>
        <w:spacing w:after="0" w:line="246" w:lineRule="auto"/>
        <w:tabs>
          <w:tab w:leader="none" w:pos="1048"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 xml:space="preserve">Successors; Binding Agreement. </w:t>
      </w:r>
      <w:r>
        <w:rPr>
          <w:rFonts w:ascii="Arial" w:cs="Arial" w:eastAsia="Arial" w:hAnsi="Arial"/>
          <w:sz w:val="20"/>
          <w:szCs w:val="20"/>
          <w:color w:val="auto"/>
        </w:rPr>
        <w:t>This Agreement will not be terminated by any acquisition, merger or consolidation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whereby the Company is or is not the surviving or resulting corporation or as a result of any transfer of all or substantially all of the assets of the Company. In the event of any such acquisition, merger, consolidation, or transfer of assets, the provisions of this Agreement will be binding upon the surviving or resulting corporation or the person or entity to which such assets are transferred (an “Acquirer”). The Company will require any Acquirer to expressly assume and agree to be bound by this Agreement.</w:t>
      </w:r>
    </w:p>
    <w:p>
      <w:pPr>
        <w:spacing w:after="0" w:line="179" w:lineRule="exact"/>
        <w:rPr>
          <w:rFonts w:ascii="Arial" w:cs="Arial" w:eastAsia="Arial" w:hAnsi="Arial"/>
          <w:sz w:val="20"/>
          <w:szCs w:val="20"/>
          <w:color w:val="auto"/>
        </w:rPr>
      </w:pPr>
    </w:p>
    <w:p>
      <w:pPr>
        <w:ind w:right="40" w:firstLine="656"/>
        <w:spacing w:after="0" w:line="255" w:lineRule="auto"/>
        <w:tabs>
          <w:tab w:leader="none" w:pos="993"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 xml:space="preserve">Notice. </w:t>
      </w:r>
      <w:r>
        <w:rPr>
          <w:rFonts w:ascii="Arial" w:cs="Arial" w:eastAsia="Arial" w:hAnsi="Arial"/>
          <w:sz w:val="20"/>
          <w:szCs w:val="20"/>
          <w:color w:val="auto"/>
        </w:rPr>
        <w:t>All demands and notices given hereunder will be sent by personal delivery, e-mail transmission, or overnight</w:t>
      </w:r>
      <w:r>
        <w:rPr>
          <w:rFonts w:ascii="Arial" w:cs="Arial" w:eastAsia="Arial" w:hAnsi="Arial"/>
          <w:sz w:val="20"/>
          <w:szCs w:val="20"/>
          <w:b w:val="1"/>
          <w:bCs w:val="1"/>
          <w:color w:val="auto"/>
        </w:rPr>
        <w:t xml:space="preserve"> </w:t>
      </w:r>
      <w:r>
        <w:rPr>
          <w:rFonts w:ascii="Arial" w:cs="Arial" w:eastAsia="Arial" w:hAnsi="Arial"/>
          <w:sz w:val="20"/>
          <w:szCs w:val="20"/>
          <w:color w:val="auto"/>
        </w:rPr>
        <w:t>express with a nationally recognized courier, addressed to the respective Parties at the addresses set forth below, or to such other address for a party as that Party may hereafter designate in writing to the other Parties in the same manner:</w:t>
      </w:r>
    </w:p>
    <w:p>
      <w:pPr>
        <w:spacing w:after="0" w:line="195"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20"/>
          <w:szCs w:val="20"/>
          <w:color w:val="auto"/>
        </w:rPr>
        <w:t>If to Gentex:</w:t>
      </w:r>
      <w:r>
        <w:rPr>
          <w:sz w:val="20"/>
          <w:szCs w:val="20"/>
          <w:color w:val="auto"/>
        </w:rPr>
        <w:tab/>
      </w:r>
      <w:r>
        <w:rPr>
          <w:rFonts w:ascii="Arial" w:cs="Arial" w:eastAsia="Arial" w:hAnsi="Arial"/>
          <w:sz w:val="19"/>
          <w:szCs w:val="19"/>
          <w:color w:val="auto"/>
        </w:rPr>
        <w:t>Gentex Corporation</w:t>
      </w:r>
    </w:p>
    <w:p>
      <w:pPr>
        <w:ind w:left="1220"/>
        <w:spacing w:after="0"/>
        <w:rPr>
          <w:sz w:val="20"/>
          <w:szCs w:val="20"/>
          <w:color w:val="auto"/>
        </w:rPr>
      </w:pPr>
      <w:r>
        <w:rPr>
          <w:rFonts w:ascii="Arial" w:cs="Arial" w:eastAsia="Arial" w:hAnsi="Arial"/>
          <w:sz w:val="20"/>
          <w:szCs w:val="20"/>
          <w:color w:val="auto"/>
        </w:rPr>
        <w:t>Attn: Legal Department</w:t>
      </w:r>
    </w:p>
    <w:p>
      <w:pPr>
        <w:ind w:left="1220"/>
        <w:spacing w:after="0"/>
        <w:rPr>
          <w:sz w:val="20"/>
          <w:szCs w:val="20"/>
          <w:color w:val="auto"/>
        </w:rPr>
      </w:pPr>
      <w:r>
        <w:rPr>
          <w:rFonts w:ascii="Arial" w:cs="Arial" w:eastAsia="Arial" w:hAnsi="Arial"/>
          <w:sz w:val="20"/>
          <w:szCs w:val="20"/>
          <w:color w:val="auto"/>
        </w:rPr>
        <w:t>600 North Centennial Street</w:t>
      </w:r>
    </w:p>
    <w:p>
      <w:pPr>
        <w:ind w:left="1220"/>
        <w:spacing w:after="0"/>
        <w:rPr>
          <w:sz w:val="20"/>
          <w:szCs w:val="20"/>
          <w:color w:val="auto"/>
        </w:rPr>
      </w:pPr>
      <w:r>
        <w:rPr>
          <w:rFonts w:ascii="Arial" w:cs="Arial" w:eastAsia="Arial" w:hAnsi="Arial"/>
          <w:sz w:val="20"/>
          <w:szCs w:val="20"/>
          <w:color w:val="auto"/>
        </w:rPr>
        <w:t>Zeeland, MI 49464</w:t>
      </w:r>
    </w:p>
    <w:p>
      <w:pPr>
        <w:ind w:left="1220"/>
        <w:spacing w:after="0"/>
        <w:rPr>
          <w:sz w:val="20"/>
          <w:szCs w:val="20"/>
          <w:color w:val="auto"/>
        </w:rPr>
      </w:pPr>
      <w:r>
        <w:rPr>
          <w:rFonts w:ascii="Arial" w:cs="Arial" w:eastAsia="Arial" w:hAnsi="Arial"/>
          <w:sz w:val="20"/>
          <w:szCs w:val="20"/>
          <w:color w:val="auto"/>
        </w:rPr>
        <w:t>legal.notification@gentex.com</w:t>
      </w:r>
    </w:p>
    <w:p>
      <w:pPr>
        <w:spacing w:after="0" w:line="215" w:lineRule="exact"/>
        <w:rPr>
          <w:sz w:val="20"/>
          <w:szCs w:val="20"/>
          <w:color w:val="auto"/>
        </w:rPr>
      </w:pPr>
    </w:p>
    <w:p>
      <w:pPr>
        <w:ind w:left="660"/>
        <w:spacing w:after="0"/>
        <w:tabs>
          <w:tab w:leader="none" w:pos="2500" w:val="left"/>
        </w:tabs>
        <w:rPr>
          <w:sz w:val="20"/>
          <w:szCs w:val="20"/>
          <w:color w:val="auto"/>
        </w:rPr>
      </w:pPr>
      <w:r>
        <w:rPr>
          <w:rFonts w:ascii="Arial" w:cs="Arial" w:eastAsia="Arial" w:hAnsi="Arial"/>
          <w:sz w:val="20"/>
          <w:szCs w:val="20"/>
          <w:color w:val="auto"/>
        </w:rPr>
        <w:t>If to Employee:</w:t>
      </w:r>
      <w:r>
        <w:rPr>
          <w:sz w:val="20"/>
          <w:szCs w:val="20"/>
          <w:color w:val="auto"/>
        </w:rPr>
        <w:tab/>
      </w:r>
      <w:r>
        <w:rPr>
          <w:rFonts w:ascii="Arial" w:cs="Arial" w:eastAsia="Arial" w:hAnsi="Arial"/>
          <w:sz w:val="19"/>
          <w:szCs w:val="19"/>
          <w:color w:val="auto"/>
        </w:rPr>
        <w:t>Fred T. Bauer</w:t>
      </w:r>
    </w:p>
    <w:p>
      <w:pPr>
        <w:ind w:left="3900"/>
        <w:spacing w:after="0"/>
        <w:rPr>
          <w:sz w:val="20"/>
          <w:szCs w:val="20"/>
          <w:color w:val="auto"/>
        </w:rPr>
      </w:pPr>
      <w:r>
        <w:rPr>
          <w:rFonts w:ascii="Arial" w:cs="Arial" w:eastAsia="Arial" w:hAnsi="Arial"/>
          <w:sz w:val="20"/>
          <w:szCs w:val="20"/>
          <w:color w:val="auto"/>
        </w:rPr>
        <w:t>2775 Lakeshore Drive</w:t>
      </w:r>
    </w:p>
    <w:p>
      <w:pPr>
        <w:ind w:left="3900"/>
        <w:spacing w:after="0"/>
        <w:rPr>
          <w:sz w:val="20"/>
          <w:szCs w:val="20"/>
          <w:color w:val="auto"/>
        </w:rPr>
      </w:pPr>
      <w:r>
        <w:rPr>
          <w:rFonts w:ascii="Arial" w:cs="Arial" w:eastAsia="Arial" w:hAnsi="Arial"/>
          <w:sz w:val="20"/>
          <w:szCs w:val="20"/>
          <w:color w:val="auto"/>
        </w:rPr>
        <w:t>Holland, Michigan 49424</w:t>
      </w:r>
    </w:p>
    <w:p>
      <w:pPr>
        <w:ind w:left="3900"/>
        <w:spacing w:after="0"/>
        <w:rPr>
          <w:sz w:val="20"/>
          <w:szCs w:val="20"/>
          <w:color w:val="auto"/>
        </w:rPr>
      </w:pPr>
      <w:r>
        <w:rPr>
          <w:rFonts w:ascii="Arial" w:cs="Arial" w:eastAsia="Arial" w:hAnsi="Arial"/>
          <w:sz w:val="20"/>
          <w:szCs w:val="20"/>
          <w:color w:val="auto"/>
        </w:rPr>
        <w:t>loisellen@gmail.com</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with a copy (which shall not serve as notice) to:</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John Levi and Chris Abbinante</w:t>
      </w:r>
    </w:p>
    <w:p>
      <w:pPr>
        <w:ind w:left="3900"/>
        <w:spacing w:after="0"/>
        <w:rPr>
          <w:sz w:val="20"/>
          <w:szCs w:val="20"/>
          <w:color w:val="auto"/>
        </w:rPr>
      </w:pPr>
      <w:r>
        <w:rPr>
          <w:rFonts w:ascii="Arial" w:cs="Arial" w:eastAsia="Arial" w:hAnsi="Arial"/>
          <w:sz w:val="20"/>
          <w:szCs w:val="20"/>
          <w:color w:val="auto"/>
        </w:rPr>
        <w:t>Sidley Austin LLP</w:t>
      </w:r>
    </w:p>
    <w:p>
      <w:pPr>
        <w:ind w:left="3900"/>
        <w:spacing w:after="0"/>
        <w:rPr>
          <w:sz w:val="20"/>
          <w:szCs w:val="20"/>
          <w:color w:val="auto"/>
        </w:rPr>
      </w:pPr>
      <w:r>
        <w:rPr>
          <w:rFonts w:ascii="Arial" w:cs="Arial" w:eastAsia="Arial" w:hAnsi="Arial"/>
          <w:sz w:val="20"/>
          <w:szCs w:val="20"/>
          <w:color w:val="auto"/>
        </w:rPr>
        <w:t>One South Dearborn Street</w:t>
      </w:r>
    </w:p>
    <w:p>
      <w:pPr>
        <w:ind w:left="3900"/>
        <w:spacing w:after="0"/>
        <w:rPr>
          <w:sz w:val="20"/>
          <w:szCs w:val="20"/>
          <w:color w:val="auto"/>
        </w:rPr>
      </w:pPr>
      <w:r>
        <w:rPr>
          <w:rFonts w:ascii="Arial" w:cs="Arial" w:eastAsia="Arial" w:hAnsi="Arial"/>
          <w:sz w:val="20"/>
          <w:szCs w:val="20"/>
          <w:color w:val="auto"/>
        </w:rPr>
        <w:t>Chicago, Illinois 60603</w:t>
      </w:r>
    </w:p>
    <w:p>
      <w:pPr>
        <w:ind w:left="3900"/>
        <w:spacing w:after="0"/>
        <w:rPr>
          <w:sz w:val="20"/>
          <w:szCs w:val="20"/>
          <w:color w:val="auto"/>
        </w:rPr>
      </w:pPr>
      <w:r>
        <w:rPr>
          <w:rFonts w:ascii="Arial" w:cs="Arial" w:eastAsia="Arial" w:hAnsi="Arial"/>
          <w:sz w:val="20"/>
          <w:szCs w:val="20"/>
          <w:color w:val="auto"/>
        </w:rPr>
        <w:t>jlevi@sidley.com</w:t>
      </w:r>
    </w:p>
    <w:p>
      <w:pPr>
        <w:ind w:left="3900"/>
        <w:spacing w:after="0"/>
        <w:rPr>
          <w:sz w:val="20"/>
          <w:szCs w:val="20"/>
          <w:color w:val="auto"/>
        </w:rPr>
      </w:pPr>
      <w:r>
        <w:rPr>
          <w:rFonts w:ascii="Arial" w:cs="Arial" w:eastAsia="Arial" w:hAnsi="Arial"/>
          <w:sz w:val="20"/>
          <w:szCs w:val="20"/>
          <w:color w:val="auto"/>
        </w:rPr>
        <w:t>cabbinante@sidley.com</w:t>
      </w:r>
    </w:p>
    <w:p>
      <w:pPr>
        <w:spacing w:after="0" w:line="192" w:lineRule="exact"/>
        <w:rPr>
          <w:sz w:val="20"/>
          <w:szCs w:val="20"/>
          <w:color w:val="auto"/>
        </w:rPr>
      </w:pPr>
    </w:p>
    <w:p>
      <w:pPr>
        <w:jc w:val="both"/>
        <w:ind w:firstLine="656"/>
        <w:spacing w:after="0" w:line="250" w:lineRule="auto"/>
        <w:tabs>
          <w:tab w:leader="none" w:pos="993" w:val="left"/>
        </w:tabs>
        <w:numPr>
          <w:ilvl w:val="0"/>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Amendment and Waiver. </w:t>
      </w:r>
      <w:r>
        <w:rPr>
          <w:rFonts w:ascii="Arial" w:cs="Arial" w:eastAsia="Arial" w:hAnsi="Arial"/>
          <w:sz w:val="20"/>
          <w:szCs w:val="20"/>
          <w:color w:val="auto"/>
        </w:rPr>
        <w:t>No provisions of this Agreement may be amended, modified, waived or discharged unless</w:t>
      </w:r>
      <w:r>
        <w:rPr>
          <w:rFonts w:ascii="Arial" w:cs="Arial" w:eastAsia="Arial" w:hAnsi="Arial"/>
          <w:sz w:val="20"/>
          <w:szCs w:val="20"/>
          <w:b w:val="1"/>
          <w:bCs w:val="1"/>
          <w:color w:val="auto"/>
        </w:rPr>
        <w:t xml:space="preserve"> </w:t>
      </w:r>
      <w:r>
        <w:rPr>
          <w:rFonts w:ascii="Arial" w:cs="Arial" w:eastAsia="Arial" w:hAnsi="Arial"/>
          <w:sz w:val="20"/>
          <w:szCs w:val="20"/>
          <w:color w:val="auto"/>
        </w:rPr>
        <w:t>the waiver, modification, or discharge is agreed to in a writing and signed by the Parties. No waiver by either Party at any time of any breach or non-performance of this Agreement by the other Party will be deemed a waiver of any prior or subsequent breach or non-performance.</w:t>
      </w:r>
    </w:p>
    <w:p>
      <w:pPr>
        <w:spacing w:after="0" w:line="176" w:lineRule="exact"/>
        <w:rPr>
          <w:rFonts w:ascii="Arial" w:cs="Arial" w:eastAsia="Arial" w:hAnsi="Arial"/>
          <w:sz w:val="20"/>
          <w:szCs w:val="20"/>
          <w:color w:val="auto"/>
        </w:rPr>
      </w:pPr>
    </w:p>
    <w:p>
      <w:pPr>
        <w:ind w:right="80" w:firstLine="656"/>
        <w:spacing w:after="0" w:line="247" w:lineRule="auto"/>
        <w:tabs>
          <w:tab w:leader="none" w:pos="1048" w:val="left"/>
        </w:tabs>
        <w:numPr>
          <w:ilvl w:val="0"/>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The invalidity or unenforceability of any provision of this Agreement will not affect the validity or</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enforceability of any other provision of this Agreement, which will remain in full force and effect. If a court of competent jurisdiction ever determines that any provision of this Agreement (including, but not limited to, all or any part of the non-competition covenant in this Agreement) is unenforceable as written, the Parties intend that the provision will be deemed narrowed or revised in that jurisdiction (as to geographic scope, duration, or any other matter) to the extent necessary to allow</w:t>
      </w:r>
    </w:p>
    <w:p>
      <w:pPr>
        <w:sectPr>
          <w:pgSz w:w="11900" w:h="16838" w:orient="portrait"/>
          <w:cols w:equalWidth="0" w:num="1">
            <w:col w:w="11420"/>
          </w:cols>
          <w:pgMar w:left="240" w:top="595" w:right="239" w:bottom="1440" w:gutter="0" w:footer="0" w:header="0"/>
        </w:sectPr>
      </w:pPr>
    </w:p>
    <w:bookmarkStart w:id="80" w:name="page81"/>
    <w:bookmarkEnd w:id="80"/>
    <w:p>
      <w:pPr>
        <w:ind w:right="260"/>
        <w:spacing w:after="0" w:line="247" w:lineRule="auto"/>
        <w:rPr>
          <w:sz w:val="20"/>
          <w:szCs w:val="20"/>
          <w:color w:val="auto"/>
        </w:rPr>
      </w:pPr>
      <w:r>
        <w:rPr>
          <w:rFonts w:ascii="Arial" w:cs="Arial" w:eastAsia="Arial" w:hAnsi="Arial"/>
          <w:sz w:val="20"/>
          <w:szCs w:val="20"/>
          <w:color w:val="auto"/>
        </w:rPr>
        <w:t>enforcement of the provision. The revision will thereafter govern in that jurisdiction, subject only to any allowable appeals of that court decision.</w:t>
      </w:r>
    </w:p>
    <w:p>
      <w:pPr>
        <w:spacing w:after="0" w:line="178" w:lineRule="exact"/>
        <w:rPr>
          <w:sz w:val="20"/>
          <w:szCs w:val="20"/>
          <w:color w:val="auto"/>
        </w:rPr>
      </w:pPr>
    </w:p>
    <w:p>
      <w:pPr>
        <w:ind w:right="80" w:firstLine="656"/>
        <w:spacing w:after="0" w:line="244" w:lineRule="auto"/>
        <w:tabs>
          <w:tab w:leader="none" w:pos="1103"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Except for the CEO and Chairman Retirement and Release Agreement effective as of December</w:t>
      </w:r>
      <w:r>
        <w:rPr>
          <w:rFonts w:ascii="Arial" w:cs="Arial" w:eastAsia="Arial" w:hAnsi="Arial"/>
          <w:sz w:val="20"/>
          <w:szCs w:val="20"/>
          <w:b w:val="1"/>
          <w:bCs w:val="1"/>
          <w:color w:val="auto"/>
        </w:rPr>
        <w:t xml:space="preserve"> </w:t>
      </w:r>
      <w:r>
        <w:rPr>
          <w:rFonts w:ascii="Arial" w:cs="Arial" w:eastAsia="Arial" w:hAnsi="Arial"/>
          <w:sz w:val="20"/>
          <w:szCs w:val="20"/>
          <w:color w:val="auto"/>
        </w:rPr>
        <w:t>31, 2017 (the “Retirement Agreement”) and the Stock Redemption Agreement effective as of January 5, 2018 (collectively, the “Additional Agreements”) and Employee’s stock option award agreements : (a) this Agreement contains the entire understanding of the parties and supersedes all previous verbal and written agreements; and (b) there are no other agreements, representations or warranties not referenced or set forth in this Agreement. This Agreement shall only be altered, modified, or amended in writing signed by the Parties. In the event of a conflict between this Agreement and the Retirement Agreement, the terms of the Retirement Agreement shall govern. The Parties agree that the execution of the Additional Agreements is among the conditions precedent to the Parties’ agreeing to enter into this Agreement.</w:t>
      </w:r>
    </w:p>
    <w:p>
      <w:pPr>
        <w:spacing w:after="0" w:line="182" w:lineRule="exact"/>
        <w:rPr>
          <w:rFonts w:ascii="Arial" w:cs="Arial" w:eastAsia="Arial" w:hAnsi="Arial"/>
          <w:sz w:val="20"/>
          <w:szCs w:val="20"/>
          <w:color w:val="auto"/>
        </w:rPr>
      </w:pPr>
    </w:p>
    <w:p>
      <w:pPr>
        <w:ind w:firstLine="656"/>
        <w:spacing w:after="0" w:line="261" w:lineRule="auto"/>
        <w:tabs>
          <w:tab w:leader="none" w:pos="1158"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The validity, interpretation, and construction of this Agreement are to be governed by Michigan</w:t>
      </w:r>
      <w:r>
        <w:rPr>
          <w:rFonts w:ascii="Arial" w:cs="Arial" w:eastAsia="Arial" w:hAnsi="Arial"/>
          <w:sz w:val="19"/>
          <w:szCs w:val="19"/>
          <w:b w:val="1"/>
          <w:bCs w:val="1"/>
          <w:color w:val="auto"/>
        </w:rPr>
        <w:t xml:space="preserve"> </w:t>
      </w:r>
      <w:r>
        <w:rPr>
          <w:rFonts w:ascii="Arial" w:cs="Arial" w:eastAsia="Arial" w:hAnsi="Arial"/>
          <w:sz w:val="19"/>
          <w:szCs w:val="19"/>
          <w:color w:val="auto"/>
        </w:rPr>
        <w:t>laws, without regard to choice of law rules. The Parties agree that any judicial action involving a dispute arising under this Agreement will be filed, heard and decided in the Ottawa County Circuit Court or the U.S. federal district court for such geographic area. The Parties agree that they will subject themselves to the personal jurisdiction and venue of either court, regardless of where Employee or the Company may be located at the time any action may be commenced. The Parties agree that the locations specified above are mutually convenient forums and that each of the Parties conducts business in Ottawa County.</w:t>
      </w:r>
    </w:p>
    <w:p>
      <w:pPr>
        <w:spacing w:after="0" w:line="167" w:lineRule="exact"/>
        <w:rPr>
          <w:rFonts w:ascii="Arial" w:cs="Arial" w:eastAsia="Arial" w:hAnsi="Arial"/>
          <w:sz w:val="19"/>
          <w:szCs w:val="19"/>
          <w:color w:val="auto"/>
        </w:rPr>
      </w:pPr>
    </w:p>
    <w:p>
      <w:pPr>
        <w:ind w:right="40" w:firstLine="656"/>
        <w:spacing w:after="0" w:line="250" w:lineRule="auto"/>
        <w:tabs>
          <w:tab w:leader="none" w:pos="1158"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Section 409A</w:t>
      </w:r>
      <w:r>
        <w:rPr>
          <w:rFonts w:ascii="Arial" w:cs="Arial" w:eastAsia="Arial" w:hAnsi="Arial"/>
          <w:sz w:val="20"/>
          <w:szCs w:val="20"/>
          <w:color w:val="auto"/>
        </w:rPr>
        <w:t>. It is intended that any amounts payable under this Agreement will be exempt from or comply with</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409A of the Internal Revenue Code of 1986, as amended (the “Code”), and treasury regulations relating thereto, so as not to subject Employee to the payment of any interest and tax penalty which may be imposed under Section 409A of the Code, and this Agreement shall be interpreted and construed accordingly where possible.</w:t>
      </w:r>
    </w:p>
    <w:p>
      <w:pPr>
        <w:spacing w:after="0" w:line="176" w:lineRule="exact"/>
        <w:rPr>
          <w:rFonts w:ascii="Arial" w:cs="Arial" w:eastAsia="Arial" w:hAnsi="Arial"/>
          <w:sz w:val="20"/>
          <w:szCs w:val="20"/>
          <w:color w:val="auto"/>
        </w:rPr>
      </w:pPr>
    </w:p>
    <w:p>
      <w:pPr>
        <w:ind w:right="240" w:firstLine="656"/>
        <w:spacing w:after="0" w:line="272" w:lineRule="auto"/>
        <w:tabs>
          <w:tab w:leader="none" w:pos="1103"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Agreement may be signed in original or by email in counterparts, each of which will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an original, and together the counterparts will constitute one complete document.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Parties have signed this Agreement as of the Effective Date.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60" w:type="dxa"/>
            <w:vAlign w:val="bottom"/>
            <w:gridSpan w:val="3"/>
          </w:tcPr>
          <w:p>
            <w:pPr>
              <w:spacing w:after="0"/>
              <w:rPr>
                <w:sz w:val="20"/>
                <w:szCs w:val="20"/>
                <w:color w:val="auto"/>
              </w:rPr>
            </w:pPr>
            <w:r>
              <w:rPr>
                <w:rFonts w:ascii="Arial" w:cs="Arial" w:eastAsia="Arial" w:hAnsi="Arial"/>
                <w:sz w:val="20"/>
                <w:szCs w:val="20"/>
                <w:color w:val="auto"/>
              </w:rPr>
              <w:t>FRED T. BAUER</w:t>
            </w:r>
          </w:p>
        </w:tc>
        <w:tc>
          <w:tcPr>
            <w:tcW w:w="4420" w:type="dxa"/>
            <w:vAlign w:val="bottom"/>
            <w:gridSpan w:val="6"/>
          </w:tcPr>
          <w:p>
            <w:pPr>
              <w:ind w:left="340"/>
              <w:spacing w:after="0"/>
              <w:rPr>
                <w:sz w:val="20"/>
                <w:szCs w:val="20"/>
                <w:color w:val="auto"/>
              </w:rPr>
            </w:pPr>
            <w:r>
              <w:rPr>
                <w:rFonts w:ascii="Arial" w:cs="Arial" w:eastAsia="Arial" w:hAnsi="Arial"/>
                <w:sz w:val="20"/>
                <w:szCs w:val="20"/>
                <w:color w:val="auto"/>
              </w:rPr>
              <w:t>GENTEX CORPORATION</w:t>
            </w:r>
          </w:p>
        </w:tc>
      </w:tr>
      <w:tr>
        <w:trPr>
          <w:trHeight w:val="401"/>
        </w:trPr>
        <w:tc>
          <w:tcPr>
            <w:tcW w:w="2600" w:type="dxa"/>
            <w:vAlign w:val="bottom"/>
            <w:gridSpan w:val="4"/>
          </w:tcPr>
          <w:p>
            <w:pPr>
              <w:spacing w:after="0"/>
              <w:rPr>
                <w:sz w:val="20"/>
                <w:szCs w:val="20"/>
                <w:color w:val="auto"/>
              </w:rPr>
            </w:pPr>
            <w:r>
              <w:rPr>
                <w:rFonts w:ascii="Arial" w:cs="Arial" w:eastAsia="Arial" w:hAnsi="Arial"/>
                <w:sz w:val="20"/>
                <w:szCs w:val="20"/>
                <w:color w:val="auto"/>
              </w:rPr>
              <w:t>Signature: /s/ Fred T. Bauer</w:t>
            </w:r>
          </w:p>
        </w:tc>
        <w:tc>
          <w:tcPr>
            <w:tcW w:w="480" w:type="dxa"/>
            <w:vAlign w:val="bottom"/>
          </w:tcPr>
          <w:p>
            <w:pPr>
              <w:spacing w:after="0"/>
              <w:rPr>
                <w:sz w:val="24"/>
                <w:szCs w:val="24"/>
                <w:color w:val="auto"/>
              </w:rPr>
            </w:pPr>
          </w:p>
        </w:tc>
        <w:tc>
          <w:tcPr>
            <w:tcW w:w="3400" w:type="dxa"/>
            <w:vAlign w:val="bottom"/>
            <w:gridSpan w:val="4"/>
          </w:tcPr>
          <w:p>
            <w:pPr>
              <w:ind w:left="180"/>
              <w:spacing w:after="0"/>
              <w:rPr>
                <w:sz w:val="20"/>
                <w:szCs w:val="20"/>
                <w:color w:val="auto"/>
              </w:rPr>
            </w:pPr>
            <w:r>
              <w:rPr>
                <w:rFonts w:ascii="Arial" w:cs="Arial" w:eastAsia="Arial" w:hAnsi="Arial"/>
                <w:sz w:val="20"/>
                <w:szCs w:val="20"/>
                <w:color w:val="auto"/>
              </w:rPr>
              <w:t>Signature: /s/ James Wallace</w:t>
            </w: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426"/>
        </w:trPr>
        <w:tc>
          <w:tcPr>
            <w:tcW w:w="2060" w:type="dxa"/>
            <w:vAlign w:val="bottom"/>
            <w:gridSpan w:val="3"/>
          </w:tcPr>
          <w:p>
            <w:pPr>
              <w:spacing w:after="0"/>
              <w:rPr>
                <w:sz w:val="20"/>
                <w:szCs w:val="20"/>
                <w:color w:val="auto"/>
              </w:rPr>
            </w:pPr>
            <w:r>
              <w:rPr>
                <w:rFonts w:ascii="Arial" w:cs="Arial" w:eastAsia="Arial" w:hAnsi="Arial"/>
                <w:sz w:val="20"/>
                <w:szCs w:val="20"/>
                <w:color w:val="auto"/>
              </w:rPr>
              <w:t>Print: Fred T. Bauer</w:t>
            </w:r>
          </w:p>
        </w:tc>
        <w:tc>
          <w:tcPr>
            <w:tcW w:w="540" w:type="dxa"/>
            <w:vAlign w:val="bottom"/>
          </w:tcPr>
          <w:p>
            <w:pPr>
              <w:spacing w:after="0"/>
              <w:rPr>
                <w:sz w:val="24"/>
                <w:szCs w:val="24"/>
                <w:color w:val="auto"/>
              </w:rPr>
            </w:pPr>
          </w:p>
        </w:tc>
        <w:tc>
          <w:tcPr>
            <w:tcW w:w="3880" w:type="dxa"/>
            <w:vAlign w:val="bottom"/>
            <w:gridSpan w:val="5"/>
          </w:tcPr>
          <w:p>
            <w:pPr>
              <w:ind w:left="240"/>
              <w:spacing w:after="0"/>
              <w:rPr>
                <w:sz w:val="20"/>
                <w:szCs w:val="20"/>
                <w:color w:val="auto"/>
              </w:rPr>
            </w:pPr>
            <w:r>
              <w:rPr>
                <w:rFonts w:ascii="Arial" w:cs="Arial" w:eastAsia="Arial" w:hAnsi="Arial"/>
                <w:sz w:val="20"/>
                <w:szCs w:val="20"/>
                <w:color w:val="auto"/>
              </w:rPr>
              <w:t>Print: James Wallace, Chairman</w:t>
            </w:r>
          </w:p>
        </w:tc>
      </w:tr>
      <w:tr>
        <w:trPr>
          <w:trHeight w:val="20"/>
        </w:trPr>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ectPr>
          <w:pgSz w:w="11900" w:h="16838" w:orient="portrait"/>
          <w:cols w:equalWidth="0" w:num="1">
            <w:col w:w="11420"/>
          </w:cols>
          <w:pgMar w:left="240" w:top="595"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20"/>
          <w:szCs w:val="20"/>
          <w:b w:val="1"/>
          <w:bCs w:val="1"/>
          <w:color w:val="auto"/>
        </w:rPr>
        <w:t>STOCK REDEMPTION AGREEMENT</w:t>
      </w:r>
    </w:p>
    <w:p>
      <w:pPr>
        <w:spacing w:after="0" w:line="200" w:lineRule="exact"/>
        <w:rPr>
          <w:sz w:val="20"/>
          <w:szCs w:val="20"/>
          <w:color w:val="auto"/>
        </w:rPr>
      </w:pPr>
    </w:p>
    <w:p>
      <w:pPr>
        <w:spacing w:after="0" w:line="256"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This is a Stock Redemption Agreement ("Redemption Agreement") entered into between Gentex Corporation, having a place of business at 600 N. Centennial St., Zeeland, Michigan, (the "Corporation") and Fred T. Bauer ("FTB").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40" w:lineRule="exact"/>
        <w:rPr>
          <w:sz w:val="20"/>
          <w:szCs w:val="20"/>
          <w:color w:val="auto"/>
        </w:rPr>
      </w:pPr>
    </w:p>
    <w:p>
      <w:pPr>
        <w:ind w:left="1020" w:hanging="364"/>
        <w:spacing w:after="0"/>
        <w:tabs>
          <w:tab w:leader="none" w:pos="10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FTB owns shares of the common stock, par value $.06 per share, of the Corporation ("Common Stock").</w:t>
      </w:r>
    </w:p>
    <w:p>
      <w:pPr>
        <w:spacing w:after="0" w:line="215" w:lineRule="exact"/>
        <w:rPr>
          <w:rFonts w:ascii="Arial" w:cs="Arial" w:eastAsia="Arial" w:hAnsi="Arial"/>
          <w:sz w:val="20"/>
          <w:szCs w:val="20"/>
          <w:color w:val="auto"/>
        </w:rPr>
      </w:pPr>
    </w:p>
    <w:p>
      <w:pPr>
        <w:ind w:firstLine="656"/>
        <w:spacing w:after="0" w:line="247" w:lineRule="auto"/>
        <w:tabs>
          <w:tab w:leader="none" w:pos="1191" w:val="left"/>
        </w:tabs>
        <w:numPr>
          <w:ilvl w:val="0"/>
          <w:numId w:val="63"/>
        </w:numPr>
        <w:rPr>
          <w:rFonts w:ascii="Arial" w:cs="Arial" w:eastAsia="Arial" w:hAnsi="Arial"/>
          <w:sz w:val="20"/>
          <w:szCs w:val="20"/>
          <w:color w:val="auto"/>
        </w:rPr>
      </w:pPr>
      <w:r>
        <w:rPr>
          <w:rFonts w:ascii="Arial" w:cs="Arial" w:eastAsia="Arial" w:hAnsi="Arial"/>
          <w:sz w:val="20"/>
          <w:szCs w:val="20"/>
          <w:color w:val="auto"/>
        </w:rPr>
        <w:t>FTB desires to have his shares of Common Stock redeemed by the Corporation on the terms and conditions hereinafter set forth.</w:t>
      </w:r>
    </w:p>
    <w:p>
      <w:pPr>
        <w:spacing w:after="0" w:line="201" w:lineRule="exact"/>
        <w:rPr>
          <w:rFonts w:ascii="Arial" w:cs="Arial" w:eastAsia="Arial" w:hAnsi="Arial"/>
          <w:sz w:val="20"/>
          <w:szCs w:val="20"/>
          <w:color w:val="auto"/>
        </w:rPr>
      </w:pPr>
    </w:p>
    <w:p>
      <w:pPr>
        <w:ind w:right="20" w:firstLine="656"/>
        <w:spacing w:after="0" w:line="247" w:lineRule="auto"/>
        <w:tabs>
          <w:tab w:leader="none" w:pos="1188"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Corporation desires to redeem the shares of Common Stock owned by FTB on the terms and conditions hereinafter set forth.</w:t>
      </w:r>
    </w:p>
    <w:p>
      <w:pPr>
        <w:spacing w:after="0" w:line="202"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In consideration of the above recitals and of the mutual covenants and agreements herein contained, the parties mutually agree as follows:</w:t>
      </w:r>
    </w:p>
    <w:p>
      <w:pPr>
        <w:spacing w:after="0" w:line="178" w:lineRule="exact"/>
        <w:rPr>
          <w:sz w:val="20"/>
          <w:szCs w:val="20"/>
          <w:color w:val="auto"/>
        </w:rPr>
      </w:pPr>
    </w:p>
    <w:p>
      <w:pPr>
        <w:jc w:val="both"/>
        <w:ind w:firstLine="656"/>
        <w:spacing w:after="0" w:line="263" w:lineRule="auto"/>
        <w:tabs>
          <w:tab w:leader="none" w:pos="1047"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 xml:space="preserve">Redemption. </w:t>
      </w:r>
      <w:r>
        <w:rPr>
          <w:rFonts w:ascii="Arial" w:cs="Arial" w:eastAsia="Arial" w:hAnsi="Arial"/>
          <w:sz w:val="19"/>
          <w:szCs w:val="19"/>
          <w:color w:val="auto"/>
        </w:rPr>
        <w:t>Subject to the terms and conditions of this Agreement, on January 16, 2018 (the "Redemption Date"),</w:t>
      </w:r>
      <w:r>
        <w:rPr>
          <w:rFonts w:ascii="Arial" w:cs="Arial" w:eastAsia="Arial" w:hAnsi="Arial"/>
          <w:sz w:val="19"/>
          <w:szCs w:val="19"/>
          <w:b w:val="1"/>
          <w:bCs w:val="1"/>
          <w:color w:val="auto"/>
        </w:rPr>
        <w:t xml:space="preserve"> </w:t>
      </w:r>
      <w:r>
        <w:rPr>
          <w:rFonts w:ascii="Arial" w:cs="Arial" w:eastAsia="Arial" w:hAnsi="Arial"/>
          <w:sz w:val="19"/>
          <w:szCs w:val="19"/>
          <w:color w:val="auto"/>
        </w:rPr>
        <w:t>FTB shall sell and transfer to the Corporation, and the Corporation shall redeem from FTB, 5,499,728 shares of Common Stock owned by FTB, plus any shares of Common Stock acquired by FTB by virtue of the exercise of vested stock options by paying cash (and holding the same) on or before January 9, 2018 (the "Redeemed Stock"). For the avoidance of doubt, FTB shall remain entitled to receive the dividend payable to record holders for the fourth quarter of 2017 with respect to such 5,499,728 shares.</w:t>
      </w:r>
    </w:p>
    <w:p>
      <w:pPr>
        <w:spacing w:after="0" w:line="166" w:lineRule="exact"/>
        <w:rPr>
          <w:rFonts w:ascii="Arial" w:cs="Arial" w:eastAsia="Arial" w:hAnsi="Arial"/>
          <w:sz w:val="19"/>
          <w:szCs w:val="19"/>
          <w:color w:val="auto"/>
        </w:rPr>
      </w:pPr>
    </w:p>
    <w:p>
      <w:pPr>
        <w:jc w:val="both"/>
        <w:ind w:firstLine="656"/>
        <w:spacing w:after="0" w:line="246" w:lineRule="auto"/>
        <w:tabs>
          <w:tab w:leader="none" w:pos="1101"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 xml:space="preserve">Calculation and Payment of Redemption Price. </w:t>
      </w:r>
      <w:r>
        <w:rPr>
          <w:rFonts w:ascii="Arial" w:cs="Arial" w:eastAsia="Arial" w:hAnsi="Arial"/>
          <w:sz w:val="20"/>
          <w:szCs w:val="20"/>
          <w:color w:val="auto"/>
        </w:rPr>
        <w:t>On the Redemption Date, the Corporation shall pay to FTB,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immediately available funds, the "Per Share Price" multiplied by the number of shares of Redeemed Stock. The "Per Share Price" shall mean $20.976 (which the parties agree is the average of the last reported sale price during normal business hours of a share of Common Stock on each full trading day in which such shares are traded as reported on the Nasdaq National Market System during the period beginning on </w:t>
      </w:r>
      <w:r>
        <w:rPr>
          <w:rFonts w:ascii="Arial" w:cs="Arial" w:eastAsia="Arial" w:hAnsi="Arial"/>
          <w:sz w:val="20"/>
          <w:szCs w:val="20"/>
          <w:b w:val="1"/>
          <w:bCs w:val="1"/>
          <w:color w:val="auto"/>
        </w:rPr>
        <w:t>December 15, 2017 through January 5, 2018</w:t>
      </w:r>
      <w:r>
        <w:rPr>
          <w:rFonts w:ascii="Arial" w:cs="Arial" w:eastAsia="Arial" w:hAnsi="Arial"/>
          <w:sz w:val="20"/>
          <w:szCs w:val="20"/>
          <w:color w:val="auto"/>
        </w:rPr>
        <w:t>. The aggregate amount payable to FTB is referred to as the "Applicable Redemption Price."</w:t>
      </w:r>
    </w:p>
    <w:p>
      <w:pPr>
        <w:spacing w:after="0" w:line="179" w:lineRule="exact"/>
        <w:rPr>
          <w:rFonts w:ascii="Arial" w:cs="Arial" w:eastAsia="Arial" w:hAnsi="Arial"/>
          <w:sz w:val="20"/>
          <w:szCs w:val="20"/>
          <w:color w:val="auto"/>
        </w:rPr>
      </w:pPr>
    </w:p>
    <w:p>
      <w:pPr>
        <w:jc w:val="both"/>
        <w:ind w:firstLine="656"/>
        <w:spacing w:after="0" w:line="247" w:lineRule="auto"/>
        <w:tabs>
          <w:tab w:leader="none" w:pos="1020"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 xml:space="preserve">Transfer of Ownership of Shares. </w:t>
      </w:r>
      <w:r>
        <w:rPr>
          <w:rFonts w:ascii="Arial" w:cs="Arial" w:eastAsia="Arial" w:hAnsi="Arial"/>
          <w:sz w:val="20"/>
          <w:szCs w:val="20"/>
          <w:color w:val="auto"/>
        </w:rPr>
        <w:t>Promptly following the Corporation's payment of the Applicable Redemption Price</w:t>
      </w:r>
      <w:r>
        <w:rPr>
          <w:rFonts w:ascii="Arial" w:cs="Arial" w:eastAsia="Arial" w:hAnsi="Arial"/>
          <w:sz w:val="20"/>
          <w:szCs w:val="20"/>
          <w:b w:val="1"/>
          <w:bCs w:val="1"/>
          <w:color w:val="auto"/>
        </w:rPr>
        <w:t xml:space="preserve"> </w:t>
      </w:r>
      <w:r>
        <w:rPr>
          <w:rFonts w:ascii="Arial" w:cs="Arial" w:eastAsia="Arial" w:hAnsi="Arial"/>
          <w:sz w:val="20"/>
          <w:szCs w:val="20"/>
          <w:color w:val="auto"/>
        </w:rPr>
        <w:t>to FTB, FTB shall deliver to the Corporation, at its address set forth in paragraph 12 hereof, the original stock certificate(s) representing the Redeemed Stock, duly endorsed in blank by FTB, or accompanied by blank stock powers, in the manner required by the Corporation's transfer agent and/or such other documents and instruments reasonably required by the Corporation or its transfer agent to transfer the Redeemed Stock to the Corporation.</w:t>
      </w:r>
    </w:p>
    <w:p>
      <w:pPr>
        <w:spacing w:after="0" w:line="20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If any certificates evidencing shares of Redeemed Stock are lost, stolen or destroyed, FTB shall make and deliver an affidavit of lost certificate in form and substance acceptable to the Corporation and its transfer agent, and deliver such affidavit in lieu of the original stock certificate required above. In such event, the Corporation may, in its discretion and as a condition precedent to payment of the Applicable Redemption Price with respect thereto, require FTB to indemnify the Corporation against any claim that may be made against it with respect to the lost, stolen, or destroyed certificate(s) and to pay any required indemnity bond, as may be required by the transfer agent.</w:t>
      </w:r>
    </w:p>
    <w:p>
      <w:pPr>
        <w:spacing w:after="0" w:line="184" w:lineRule="exact"/>
        <w:rPr>
          <w:sz w:val="20"/>
          <w:szCs w:val="20"/>
          <w:color w:val="auto"/>
        </w:rPr>
      </w:pPr>
    </w:p>
    <w:p>
      <w:pPr>
        <w:jc w:val="both"/>
        <w:ind w:firstLine="656"/>
        <w:spacing w:after="0" w:line="255" w:lineRule="auto"/>
        <w:tabs>
          <w:tab w:leader="none" w:pos="1034"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 xml:space="preserve">Adjustments. </w:t>
      </w:r>
      <w:r>
        <w:rPr>
          <w:rFonts w:ascii="Arial" w:cs="Arial" w:eastAsia="Arial" w:hAnsi="Arial"/>
          <w:sz w:val="20"/>
          <w:szCs w:val="20"/>
          <w:color w:val="auto"/>
        </w:rPr>
        <w:t>If, between the date of this Redemption Agreement and the Redemption Date, the outstanding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Common Stock changes into a different number of shares or a different class of shares by reason of any stock split, split-up, reclassification, recapitalization, merger, consolidation,</w:t>
      </w:r>
    </w:p>
    <w:p>
      <w:pPr>
        <w:sectPr>
          <w:pgSz w:w="11900" w:h="16838" w:orient="portrait"/>
          <w:cols w:equalWidth="0" w:num="1">
            <w:col w:w="11420"/>
          </w:cols>
          <w:pgMar w:left="240" w:top="571" w:right="239" w:bottom="1440" w:gutter="0" w:footer="0" w:header="0"/>
        </w:sectPr>
      </w:pPr>
    </w:p>
    <w:bookmarkStart w:id="82" w:name="page83"/>
    <w:bookmarkEnd w:id="82"/>
    <w:p>
      <w:pPr>
        <w:jc w:val="both"/>
        <w:spacing w:after="0" w:line="242" w:lineRule="auto"/>
        <w:rPr>
          <w:sz w:val="20"/>
          <w:szCs w:val="20"/>
          <w:color w:val="auto"/>
        </w:rPr>
      </w:pPr>
      <w:r>
        <w:rPr>
          <w:rFonts w:ascii="Arial" w:cs="Arial" w:eastAsia="Arial" w:hAnsi="Arial"/>
          <w:sz w:val="20"/>
          <w:szCs w:val="20"/>
          <w:color w:val="auto"/>
        </w:rPr>
        <w:t>combination, exchange of shares, stock dividend or dividend payable in other securities, or any similar event has occurred, and the record date for such change is within that time period, the number of shares to be redeemed from FTB pursuant to this Redemption Agreement and the Applicable Redemption Price shall be appropriately adjusted to provide to FTB the same economic effect as contemplated by this Redemption Agreement prior to such event.</w:t>
      </w:r>
    </w:p>
    <w:p>
      <w:pPr>
        <w:spacing w:after="0" w:line="183" w:lineRule="exact"/>
        <w:rPr>
          <w:sz w:val="20"/>
          <w:szCs w:val="20"/>
          <w:color w:val="auto"/>
        </w:rPr>
      </w:pPr>
    </w:p>
    <w:p>
      <w:pPr>
        <w:ind w:firstLine="656"/>
        <w:spacing w:after="0" w:line="272" w:lineRule="auto"/>
        <w:tabs>
          <w:tab w:leader="none" w:pos="1020"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 xml:space="preserve">Representations of FTB. </w:t>
      </w:r>
      <w:r>
        <w:rPr>
          <w:rFonts w:ascii="Arial" w:cs="Arial" w:eastAsia="Arial" w:hAnsi="Arial"/>
          <w:sz w:val="20"/>
          <w:szCs w:val="20"/>
          <w:color w:val="auto"/>
        </w:rPr>
        <w:t>FTB represents, warrants and covenants that the same shall be true as of the Redemption</w:t>
      </w:r>
      <w:r>
        <w:rPr>
          <w:rFonts w:ascii="Arial" w:cs="Arial" w:eastAsia="Arial" w:hAnsi="Arial"/>
          <w:sz w:val="20"/>
          <w:szCs w:val="20"/>
          <w:b w:val="1"/>
          <w:bCs w:val="1"/>
          <w:color w:val="auto"/>
        </w:rPr>
        <w:t xml:space="preserve"> </w:t>
      </w:r>
      <w:r>
        <w:rPr>
          <w:rFonts w:ascii="Arial" w:cs="Arial" w:eastAsia="Arial" w:hAnsi="Arial"/>
          <w:sz w:val="20"/>
          <w:szCs w:val="20"/>
          <w:color w:val="auto"/>
        </w:rPr>
        <w:t>Date with respect to the shares of Common Stock to be redeemed on the Redemption Date:</w:t>
      </w:r>
    </w:p>
    <w:p>
      <w:pPr>
        <w:spacing w:after="0" w:line="177" w:lineRule="exact"/>
        <w:rPr>
          <w:rFonts w:ascii="Arial" w:cs="Arial" w:eastAsia="Arial" w:hAnsi="Arial"/>
          <w:sz w:val="20"/>
          <w:szCs w:val="20"/>
          <w:color w:val="auto"/>
        </w:rPr>
      </w:pPr>
    </w:p>
    <w:p>
      <w:pPr>
        <w:ind w:left="660" w:firstLine="645"/>
        <w:spacing w:after="0" w:line="247" w:lineRule="auto"/>
        <w:tabs>
          <w:tab w:leader="none" w:pos="1798" w:val="left"/>
        </w:tabs>
        <w:numPr>
          <w:ilvl w:val="1"/>
          <w:numId w:val="66"/>
        </w:numPr>
        <w:rPr>
          <w:rFonts w:ascii="Arial" w:cs="Arial" w:eastAsia="Arial" w:hAnsi="Arial"/>
          <w:sz w:val="20"/>
          <w:szCs w:val="20"/>
          <w:color w:val="auto"/>
        </w:rPr>
      </w:pPr>
      <w:r>
        <w:rPr>
          <w:rFonts w:ascii="Arial" w:cs="Arial" w:eastAsia="Arial" w:hAnsi="Arial"/>
          <w:sz w:val="20"/>
          <w:szCs w:val="20"/>
          <w:color w:val="auto"/>
        </w:rPr>
        <w:t>FTB is the legal and beneficial owner of all of the shares of Redeemed Stock to be sold and transferred by FTB hereunder, free and clear of any and all liens, encumbrances and other charges;</w:t>
      </w:r>
    </w:p>
    <w:p>
      <w:pPr>
        <w:spacing w:after="0" w:line="201" w:lineRule="exact"/>
        <w:rPr>
          <w:rFonts w:ascii="Arial" w:cs="Arial" w:eastAsia="Arial" w:hAnsi="Arial"/>
          <w:sz w:val="20"/>
          <w:szCs w:val="20"/>
          <w:color w:val="auto"/>
        </w:rPr>
      </w:pPr>
    </w:p>
    <w:p>
      <w:pPr>
        <w:ind w:left="660" w:firstLine="645"/>
        <w:spacing w:after="0" w:line="247" w:lineRule="auto"/>
        <w:tabs>
          <w:tab w:leader="none" w:pos="1852" w:val="left"/>
        </w:tabs>
        <w:numPr>
          <w:ilvl w:val="1"/>
          <w:numId w:val="66"/>
        </w:numPr>
        <w:rPr>
          <w:rFonts w:ascii="Arial" w:cs="Arial" w:eastAsia="Arial" w:hAnsi="Arial"/>
          <w:sz w:val="20"/>
          <w:szCs w:val="20"/>
          <w:color w:val="auto"/>
        </w:rPr>
      </w:pPr>
      <w:r>
        <w:rPr>
          <w:rFonts w:ascii="Arial" w:cs="Arial" w:eastAsia="Arial" w:hAnsi="Arial"/>
          <w:sz w:val="20"/>
          <w:szCs w:val="20"/>
          <w:color w:val="auto"/>
        </w:rPr>
        <w:t>FTB has good and marketable title to the shares of Redeemed Stock to be sold and transferred by FTB hereunder, and has full right to sell and transfer such shares to the Corporation;</w:t>
      </w:r>
    </w:p>
    <w:p>
      <w:pPr>
        <w:spacing w:after="0" w:line="201" w:lineRule="exact"/>
        <w:rPr>
          <w:rFonts w:ascii="Arial" w:cs="Arial" w:eastAsia="Arial" w:hAnsi="Arial"/>
          <w:sz w:val="20"/>
          <w:szCs w:val="20"/>
          <w:color w:val="auto"/>
        </w:rPr>
      </w:pPr>
    </w:p>
    <w:p>
      <w:pPr>
        <w:ind w:left="660" w:right="20" w:firstLine="645"/>
        <w:spacing w:after="0" w:line="247" w:lineRule="auto"/>
        <w:tabs>
          <w:tab w:leader="none" w:pos="1868" w:val="left"/>
        </w:tabs>
        <w:numPr>
          <w:ilvl w:val="1"/>
          <w:numId w:val="66"/>
        </w:numPr>
        <w:rPr>
          <w:rFonts w:ascii="Arial" w:cs="Arial" w:eastAsia="Arial" w:hAnsi="Arial"/>
          <w:sz w:val="20"/>
          <w:szCs w:val="20"/>
          <w:color w:val="auto"/>
        </w:rPr>
      </w:pPr>
      <w:r>
        <w:rPr>
          <w:rFonts w:ascii="Arial" w:cs="Arial" w:eastAsia="Arial" w:hAnsi="Arial"/>
          <w:sz w:val="20"/>
          <w:szCs w:val="20"/>
          <w:color w:val="auto"/>
        </w:rPr>
        <w:t>FTB is not a party to any agreement, written or oral, creating rights in respect of any of the shares of Redeemed Stock to be sold and delivered by FTB hereunder;</w:t>
      </w:r>
    </w:p>
    <w:p>
      <w:pPr>
        <w:spacing w:after="0" w:line="201" w:lineRule="exact"/>
        <w:rPr>
          <w:rFonts w:ascii="Arial" w:cs="Arial" w:eastAsia="Arial" w:hAnsi="Arial"/>
          <w:sz w:val="20"/>
          <w:szCs w:val="20"/>
          <w:color w:val="auto"/>
        </w:rPr>
      </w:pPr>
    </w:p>
    <w:p>
      <w:pPr>
        <w:jc w:val="both"/>
        <w:ind w:left="660" w:firstLine="645"/>
        <w:spacing w:after="0" w:line="243" w:lineRule="auto"/>
        <w:tabs>
          <w:tab w:leader="none" w:pos="173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there are no existing warrants, options, stock purchase agreements, or restrictions of any nature relating to the shares of Redeemed Stock to be sold and delivered by FTB hereunder, and FTB's performance hereunder will not conflict with or violate any agreement to which FTB is a party or by which FTB is bound; and</w:t>
      </w:r>
    </w:p>
    <w:p>
      <w:pPr>
        <w:spacing w:after="0" w:line="205" w:lineRule="exact"/>
        <w:rPr>
          <w:rFonts w:ascii="Arial" w:cs="Arial" w:eastAsia="Arial" w:hAnsi="Arial"/>
          <w:sz w:val="20"/>
          <w:szCs w:val="20"/>
          <w:color w:val="auto"/>
        </w:rPr>
      </w:pPr>
    </w:p>
    <w:p>
      <w:pPr>
        <w:ind w:left="1800" w:hanging="495"/>
        <w:spacing w:after="0"/>
        <w:tabs>
          <w:tab w:leader="none" w:pos="180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this Redemption Agreement is a binding obligation of FTB, enforceable against FTB in accordance with its</w:t>
      </w:r>
    </w:p>
    <w:p>
      <w:pPr>
        <w:ind w:left="660"/>
        <w:spacing w:after="0"/>
        <w:rPr>
          <w:rFonts w:ascii="Arial" w:cs="Arial" w:eastAsia="Arial" w:hAnsi="Arial"/>
          <w:sz w:val="20"/>
          <w:szCs w:val="20"/>
          <w:color w:val="auto"/>
        </w:rPr>
      </w:pPr>
      <w:r>
        <w:rPr>
          <w:rFonts w:ascii="Arial" w:cs="Arial" w:eastAsia="Arial" w:hAnsi="Arial"/>
          <w:sz w:val="20"/>
          <w:szCs w:val="20"/>
          <w:color w:val="auto"/>
        </w:rPr>
        <w:t>terms.</w:t>
      </w:r>
    </w:p>
    <w:p>
      <w:pPr>
        <w:spacing w:after="0" w:line="191" w:lineRule="exact"/>
        <w:rPr>
          <w:rFonts w:ascii="Arial" w:cs="Arial" w:eastAsia="Arial" w:hAnsi="Arial"/>
          <w:sz w:val="20"/>
          <w:szCs w:val="20"/>
          <w:color w:val="auto"/>
        </w:rPr>
      </w:pPr>
    </w:p>
    <w:p>
      <w:pPr>
        <w:ind w:left="1000" w:hanging="344"/>
        <w:spacing w:after="0"/>
        <w:tabs>
          <w:tab w:leader="none" w:pos="1000"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 xml:space="preserve">Representations of the Corporation. </w:t>
      </w:r>
      <w:r>
        <w:rPr>
          <w:rFonts w:ascii="Arial" w:cs="Arial" w:eastAsia="Arial" w:hAnsi="Arial"/>
          <w:sz w:val="20"/>
          <w:szCs w:val="20"/>
          <w:color w:val="auto"/>
        </w:rPr>
        <w:t>The Corporation represents and warrants that:</w:t>
      </w:r>
    </w:p>
    <w:p>
      <w:pPr>
        <w:spacing w:after="0" w:line="239" w:lineRule="exact"/>
        <w:rPr>
          <w:rFonts w:ascii="Arial" w:cs="Arial" w:eastAsia="Arial" w:hAnsi="Arial"/>
          <w:sz w:val="20"/>
          <w:szCs w:val="20"/>
          <w:color w:val="auto"/>
        </w:rPr>
      </w:pPr>
    </w:p>
    <w:p>
      <w:pPr>
        <w:ind w:left="1840" w:hanging="535"/>
        <w:spacing w:after="0"/>
        <w:tabs>
          <w:tab w:leader="none" w:pos="1840" w:val="left"/>
        </w:tabs>
        <w:numPr>
          <w:ilvl w:val="1"/>
          <w:numId w:val="66"/>
        </w:numPr>
        <w:rPr>
          <w:rFonts w:ascii="Arial" w:cs="Arial" w:eastAsia="Arial" w:hAnsi="Arial"/>
          <w:sz w:val="20"/>
          <w:szCs w:val="20"/>
          <w:color w:val="auto"/>
        </w:rPr>
      </w:pPr>
      <w:r>
        <w:rPr>
          <w:rFonts w:ascii="Arial" w:cs="Arial" w:eastAsia="Arial" w:hAnsi="Arial"/>
          <w:sz w:val="20"/>
          <w:szCs w:val="20"/>
          <w:color w:val="auto"/>
        </w:rPr>
        <w:t>its execution and delivery of this Redemption Agreement has been duly authorized by requisite corporate</w:t>
      </w:r>
    </w:p>
    <w:p>
      <w:pPr>
        <w:ind w:left="660"/>
        <w:spacing w:after="0"/>
        <w:rPr>
          <w:rFonts w:ascii="Arial" w:cs="Arial" w:eastAsia="Arial" w:hAnsi="Arial"/>
          <w:sz w:val="20"/>
          <w:szCs w:val="20"/>
          <w:color w:val="auto"/>
        </w:rPr>
      </w:pPr>
      <w:r>
        <w:rPr>
          <w:rFonts w:ascii="Arial" w:cs="Arial" w:eastAsia="Arial" w:hAnsi="Arial"/>
          <w:sz w:val="20"/>
          <w:szCs w:val="20"/>
          <w:color w:val="auto"/>
        </w:rPr>
        <w:t>action; and</w:t>
      </w:r>
    </w:p>
    <w:p>
      <w:pPr>
        <w:spacing w:after="0" w:line="215" w:lineRule="exact"/>
        <w:rPr>
          <w:rFonts w:ascii="Arial" w:cs="Arial" w:eastAsia="Arial" w:hAnsi="Arial"/>
          <w:sz w:val="20"/>
          <w:szCs w:val="20"/>
          <w:color w:val="auto"/>
        </w:rPr>
      </w:pPr>
    </w:p>
    <w:p>
      <w:pPr>
        <w:ind w:left="660" w:right="20" w:firstLine="645"/>
        <w:spacing w:after="0" w:line="247" w:lineRule="auto"/>
        <w:tabs>
          <w:tab w:leader="none" w:pos="1798"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this Redemption Agreement is a binding obligation of the Corporation, enforceable against it in accordance with its terms.</w:t>
      </w:r>
    </w:p>
    <w:p>
      <w:pPr>
        <w:spacing w:after="0" w:line="177" w:lineRule="exact"/>
        <w:rPr>
          <w:rFonts w:ascii="Arial" w:cs="Arial" w:eastAsia="Arial" w:hAnsi="Arial"/>
          <w:sz w:val="20"/>
          <w:szCs w:val="20"/>
          <w:color w:val="auto"/>
        </w:rPr>
      </w:pPr>
    </w:p>
    <w:p>
      <w:pPr>
        <w:ind w:firstLine="656"/>
        <w:spacing w:after="0" w:line="272" w:lineRule="auto"/>
        <w:tabs>
          <w:tab w:leader="none" w:pos="1047"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 xml:space="preserve">Survival of Representations and Warranties. </w:t>
      </w:r>
      <w:r>
        <w:rPr>
          <w:rFonts w:ascii="Arial" w:cs="Arial" w:eastAsia="Arial" w:hAnsi="Arial"/>
          <w:sz w:val="20"/>
          <w:szCs w:val="20"/>
          <w:color w:val="auto"/>
        </w:rPr>
        <w:t>All representations and warranties made hereunder shall survive the</w:t>
      </w:r>
      <w:r>
        <w:rPr>
          <w:rFonts w:ascii="Arial" w:cs="Arial" w:eastAsia="Arial" w:hAnsi="Arial"/>
          <w:sz w:val="20"/>
          <w:szCs w:val="20"/>
          <w:b w:val="1"/>
          <w:bCs w:val="1"/>
          <w:color w:val="auto"/>
        </w:rPr>
        <w:t xml:space="preserve"> </w:t>
      </w:r>
      <w:r>
        <w:rPr>
          <w:rFonts w:ascii="Arial" w:cs="Arial" w:eastAsia="Arial" w:hAnsi="Arial"/>
          <w:sz w:val="20"/>
          <w:szCs w:val="20"/>
          <w:color w:val="auto"/>
        </w:rPr>
        <w:t>delivery of the shares redeemed hereunder.</w:t>
      </w:r>
    </w:p>
    <w:p>
      <w:pPr>
        <w:spacing w:after="0" w:line="153" w:lineRule="exact"/>
        <w:rPr>
          <w:rFonts w:ascii="Arial" w:cs="Arial" w:eastAsia="Arial" w:hAnsi="Arial"/>
          <w:sz w:val="20"/>
          <w:szCs w:val="20"/>
          <w:color w:val="auto"/>
        </w:rPr>
      </w:pPr>
    </w:p>
    <w:p>
      <w:pPr>
        <w:jc w:val="both"/>
        <w:ind w:firstLine="656"/>
        <w:spacing w:after="0" w:line="250" w:lineRule="auto"/>
        <w:tabs>
          <w:tab w:leader="none" w:pos="1209"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 xml:space="preserve">Conditions Precedent to Corporation's Obligations. </w:t>
      </w:r>
      <w:r>
        <w:rPr>
          <w:rFonts w:ascii="Arial" w:cs="Arial" w:eastAsia="Arial" w:hAnsi="Arial"/>
          <w:sz w:val="20"/>
          <w:szCs w:val="20"/>
          <w:color w:val="auto"/>
        </w:rPr>
        <w:t>It shall be a condition precedent to the Corporation's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hereunder with respect to FTB that the representations and warranties made by FTB herein shall be true and correct on the Redemption Date as if made on and as of that date, and the tender of shares by FTB on the Redemption Date shall be deemed an affirmation thereof.</w:t>
      </w:r>
    </w:p>
    <w:p>
      <w:pPr>
        <w:spacing w:after="0" w:line="176" w:lineRule="exact"/>
        <w:rPr>
          <w:rFonts w:ascii="Arial" w:cs="Arial" w:eastAsia="Arial" w:hAnsi="Arial"/>
          <w:sz w:val="20"/>
          <w:szCs w:val="20"/>
          <w:color w:val="auto"/>
        </w:rPr>
      </w:pPr>
    </w:p>
    <w:p>
      <w:pPr>
        <w:jc w:val="both"/>
        <w:ind w:firstLine="656"/>
        <w:spacing w:after="0" w:line="247" w:lineRule="auto"/>
        <w:tabs>
          <w:tab w:leader="none" w:pos="1007"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 xml:space="preserve">Conditions Precedent to FTB's Obligations. </w:t>
      </w:r>
      <w:r>
        <w:rPr>
          <w:rFonts w:ascii="Arial" w:cs="Arial" w:eastAsia="Arial" w:hAnsi="Arial"/>
          <w:sz w:val="20"/>
          <w:szCs w:val="20"/>
          <w:color w:val="auto"/>
        </w:rPr>
        <w:t>It shall be a condition precedent to FTB's obligation hereunder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representations and warranties made by the Corporation herein shall be true and correct on the Redemption Date as if made on and as of that date, and the tender of the Applicable Redemption Price by the Corporation on the Redemption Date shall be deemed an affirmation thereof. It shall be an additional condition precedent to FTB’s obligation hereunder that the Corporation shall have timely delivered an executed copy of the Additional Agreements (as defined in Section 17 below) to FTB.</w:t>
      </w:r>
    </w:p>
    <w:p>
      <w:pPr>
        <w:spacing w:after="0" w:line="180" w:lineRule="exact"/>
        <w:rPr>
          <w:rFonts w:ascii="Arial" w:cs="Arial" w:eastAsia="Arial" w:hAnsi="Arial"/>
          <w:sz w:val="20"/>
          <w:szCs w:val="20"/>
          <w:color w:val="auto"/>
        </w:rPr>
      </w:pPr>
    </w:p>
    <w:p>
      <w:pPr>
        <w:jc w:val="both"/>
        <w:ind w:firstLine="656"/>
        <w:spacing w:after="0" w:line="255" w:lineRule="auto"/>
        <w:tabs>
          <w:tab w:leader="none" w:pos="1211"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 xml:space="preserve">Continuing Rights of FTB. </w:t>
      </w:r>
      <w:r>
        <w:rPr>
          <w:rFonts w:ascii="Arial" w:cs="Arial" w:eastAsia="Arial" w:hAnsi="Arial"/>
          <w:sz w:val="20"/>
          <w:szCs w:val="20"/>
          <w:color w:val="auto"/>
        </w:rPr>
        <w:t>Nothing in this Agreement shall affect any of FTB's rights with respect to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owned in the future that are not Redeemed Shares (including, without limitation, through any future exercise of any stock options).</w:t>
      </w:r>
    </w:p>
    <w:p>
      <w:pPr>
        <w:sectPr>
          <w:pgSz w:w="11900" w:h="16838" w:orient="portrait"/>
          <w:cols w:equalWidth="0" w:num="1">
            <w:col w:w="11420"/>
          </w:cols>
          <w:pgMar w:left="240" w:top="595" w:right="239" w:bottom="1440" w:gutter="0" w:footer="0" w:header="0"/>
        </w:sectPr>
      </w:pPr>
    </w:p>
    <w:bookmarkStart w:id="83" w:name="page84"/>
    <w:bookmarkEnd w:id="83"/>
    <w:p>
      <w:pPr>
        <w:ind w:left="-656" w:firstLine="656"/>
        <w:spacing w:after="0" w:line="272" w:lineRule="auto"/>
        <w:tabs>
          <w:tab w:leader="none" w:pos="501" w:val="left"/>
        </w:tabs>
        <w:numPr>
          <w:ilvl w:val="0"/>
          <w:numId w:val="67"/>
        </w:numPr>
        <w:rPr>
          <w:rFonts w:ascii="Arial" w:cs="Arial" w:eastAsia="Arial" w:hAnsi="Arial"/>
          <w:sz w:val="20"/>
          <w:szCs w:val="20"/>
          <w:color w:val="auto"/>
        </w:rPr>
      </w:pPr>
      <w:r>
        <w:rPr>
          <w:rFonts w:ascii="Arial" w:cs="Arial" w:eastAsia="Arial" w:hAnsi="Arial"/>
          <w:sz w:val="20"/>
          <w:szCs w:val="20"/>
          <w:b w:val="1"/>
          <w:bCs w:val="1"/>
          <w:color w:val="auto"/>
        </w:rPr>
        <w:t xml:space="preserve">Further Assurances. </w:t>
      </w:r>
      <w:r>
        <w:rPr>
          <w:rFonts w:ascii="Arial" w:cs="Arial" w:eastAsia="Arial" w:hAnsi="Arial"/>
          <w:sz w:val="20"/>
          <w:szCs w:val="20"/>
          <w:color w:val="auto"/>
        </w:rPr>
        <w:t>Each party shall take whatever further action may become necessary or appropriate to carry</w:t>
      </w:r>
      <w:r>
        <w:rPr>
          <w:rFonts w:ascii="Arial" w:cs="Arial" w:eastAsia="Arial" w:hAnsi="Arial"/>
          <w:sz w:val="20"/>
          <w:szCs w:val="20"/>
          <w:b w:val="1"/>
          <w:bCs w:val="1"/>
          <w:color w:val="auto"/>
        </w:rPr>
        <w:t xml:space="preserve"> </w:t>
      </w:r>
      <w:r>
        <w:rPr>
          <w:rFonts w:ascii="Arial" w:cs="Arial" w:eastAsia="Arial" w:hAnsi="Arial"/>
          <w:sz w:val="20"/>
          <w:szCs w:val="20"/>
          <w:color w:val="auto"/>
        </w:rPr>
        <w:t>out the intent and accomplish the purposes of this Redemption Agreement.</w:t>
      </w:r>
    </w:p>
    <w:p>
      <w:pPr>
        <w:spacing w:after="0" w:line="153" w:lineRule="exact"/>
        <w:rPr>
          <w:rFonts w:ascii="Arial" w:cs="Arial" w:eastAsia="Arial" w:hAnsi="Arial"/>
          <w:sz w:val="20"/>
          <w:szCs w:val="20"/>
          <w:color w:val="auto"/>
        </w:rPr>
      </w:pPr>
    </w:p>
    <w:p>
      <w:pPr>
        <w:jc w:val="both"/>
        <w:ind w:left="-656" w:firstLine="656"/>
        <w:spacing w:after="0" w:line="255" w:lineRule="auto"/>
        <w:tabs>
          <w:tab w:leader="none" w:pos="447" w:val="left"/>
        </w:tabs>
        <w:numPr>
          <w:ilvl w:val="0"/>
          <w:numId w:val="67"/>
        </w:numPr>
        <w:rPr>
          <w:rFonts w:ascii="Arial" w:cs="Arial" w:eastAsia="Arial" w:hAnsi="Arial"/>
          <w:sz w:val="20"/>
          <w:szCs w:val="20"/>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demands and notices given hereunder will be sent by personal delivery, e-mail transmission, or overnight</w:t>
      </w:r>
      <w:r>
        <w:rPr>
          <w:rFonts w:ascii="Arial" w:cs="Arial" w:eastAsia="Arial" w:hAnsi="Arial"/>
          <w:sz w:val="20"/>
          <w:szCs w:val="20"/>
          <w:b w:val="1"/>
          <w:bCs w:val="1"/>
          <w:color w:val="auto"/>
        </w:rPr>
        <w:t xml:space="preserve"> </w:t>
      </w:r>
      <w:r>
        <w:rPr>
          <w:rFonts w:ascii="Arial" w:cs="Arial" w:eastAsia="Arial" w:hAnsi="Arial"/>
          <w:sz w:val="20"/>
          <w:szCs w:val="20"/>
          <w:color w:val="auto"/>
        </w:rPr>
        <w:t>express with a nationally recognized courier, addressed to the respective parties at the addresses set forth below, or to such other address for a party as that party may hereafter designate in writing to the other parties in the same manner:</w:t>
      </w:r>
    </w:p>
    <w:p>
      <w:pPr>
        <w:sectPr>
          <w:pgSz w:w="11900" w:h="16838" w:orient="portrait"/>
          <w:cols w:equalWidth="0" w:num="1">
            <w:col w:w="10764"/>
          </w:cols>
          <w:pgMar w:left="896" w:top="787" w:right="239" w:bottom="1440" w:gutter="0" w:footer="0" w:header="0"/>
        </w:sectPr>
      </w:pPr>
    </w:p>
    <w:p>
      <w:pPr>
        <w:spacing w:after="0" w:line="196" w:lineRule="exact"/>
        <w:rPr>
          <w:sz w:val="20"/>
          <w:szCs w:val="20"/>
          <w:color w:val="auto"/>
        </w:rPr>
      </w:pPr>
    </w:p>
    <w:p>
      <w:pPr>
        <w:ind w:left="644"/>
        <w:spacing w:after="0"/>
        <w:rPr>
          <w:sz w:val="20"/>
          <w:szCs w:val="20"/>
          <w:color w:val="auto"/>
        </w:rPr>
      </w:pPr>
      <w:r>
        <w:rPr>
          <w:rFonts w:ascii="Arial" w:cs="Arial" w:eastAsia="Arial" w:hAnsi="Arial"/>
          <w:sz w:val="19"/>
          <w:szCs w:val="19"/>
          <w:color w:val="auto"/>
        </w:rPr>
        <w:t>If to the Corporation: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Gentex Corporation</w:t>
      </w:r>
    </w:p>
    <w:p>
      <w:pPr>
        <w:ind w:left="440"/>
        <w:spacing w:after="0"/>
        <w:rPr>
          <w:sz w:val="20"/>
          <w:szCs w:val="20"/>
          <w:color w:val="auto"/>
        </w:rPr>
      </w:pPr>
      <w:r>
        <w:rPr>
          <w:rFonts w:ascii="Arial" w:cs="Arial" w:eastAsia="Arial" w:hAnsi="Arial"/>
          <w:sz w:val="20"/>
          <w:szCs w:val="20"/>
          <w:color w:val="auto"/>
        </w:rPr>
        <w:t>Attention: Legal Department</w:t>
      </w:r>
    </w:p>
    <w:p>
      <w:pPr>
        <w:ind w:left="440"/>
        <w:spacing w:after="0"/>
        <w:rPr>
          <w:sz w:val="20"/>
          <w:szCs w:val="20"/>
          <w:color w:val="auto"/>
        </w:rPr>
      </w:pPr>
      <w:r>
        <w:rPr>
          <w:rFonts w:ascii="Arial" w:cs="Arial" w:eastAsia="Arial" w:hAnsi="Arial"/>
          <w:sz w:val="20"/>
          <w:szCs w:val="20"/>
          <w:color w:val="auto"/>
        </w:rPr>
        <w:t>600 North Centennial Street</w:t>
      </w:r>
    </w:p>
    <w:p>
      <w:pPr>
        <w:ind w:left="440"/>
        <w:spacing w:after="0"/>
        <w:rPr>
          <w:sz w:val="20"/>
          <w:szCs w:val="20"/>
          <w:color w:val="auto"/>
        </w:rPr>
      </w:pPr>
      <w:r>
        <w:rPr>
          <w:rFonts w:ascii="Arial" w:cs="Arial" w:eastAsia="Arial" w:hAnsi="Arial"/>
          <w:sz w:val="20"/>
          <w:szCs w:val="20"/>
          <w:color w:val="auto"/>
        </w:rPr>
        <w:t>Zeeland, Michigan 49464</w:t>
      </w:r>
    </w:p>
    <w:p>
      <w:pPr>
        <w:ind w:left="440"/>
        <w:spacing w:after="0"/>
        <w:rPr>
          <w:sz w:val="20"/>
          <w:szCs w:val="20"/>
          <w:color w:val="auto"/>
        </w:rPr>
      </w:pPr>
      <w:r>
        <w:rPr>
          <w:rFonts w:ascii="Arial" w:cs="Arial" w:eastAsia="Arial" w:hAnsi="Arial"/>
          <w:sz w:val="19"/>
          <w:szCs w:val="19"/>
          <w:color w:val="auto"/>
        </w:rPr>
        <w:t>legal.notification@gentex.com</w:t>
      </w:r>
    </w:p>
    <w:p>
      <w:pPr>
        <w:spacing w:after="0" w:line="200" w:lineRule="exact"/>
        <w:rPr>
          <w:sz w:val="20"/>
          <w:szCs w:val="20"/>
          <w:color w:val="auto"/>
        </w:rPr>
      </w:pPr>
    </w:p>
    <w:p>
      <w:pPr>
        <w:sectPr>
          <w:pgSz w:w="11900" w:h="16838" w:orient="portrait"/>
          <w:cols w:equalWidth="0" w:num="2">
            <w:col w:w="2444" w:space="360"/>
            <w:col w:w="7960"/>
          </w:cols>
          <w:pgMar w:left="896" w:top="787" w:right="239" w:bottom="1440" w:gutter="0" w:footer="0" w:header="0"/>
          <w:type w:val="continuous"/>
        </w:sectPr>
      </w:pPr>
    </w:p>
    <w:p>
      <w:pPr>
        <w:spacing w:after="0" w:line="27" w:lineRule="exact"/>
        <w:rPr>
          <w:sz w:val="20"/>
          <w:szCs w:val="20"/>
          <w:color w:val="auto"/>
        </w:rPr>
      </w:pPr>
    </w:p>
    <w:p>
      <w:pPr>
        <w:ind w:left="644"/>
        <w:spacing w:after="0"/>
        <w:rPr>
          <w:sz w:val="20"/>
          <w:szCs w:val="20"/>
          <w:color w:val="auto"/>
        </w:rPr>
      </w:pPr>
      <w:r>
        <w:rPr>
          <w:rFonts w:ascii="Arial" w:cs="Arial" w:eastAsia="Arial" w:hAnsi="Arial"/>
          <w:sz w:val="19"/>
          <w:szCs w:val="19"/>
          <w:color w:val="auto"/>
        </w:rPr>
        <w:t>If to FTB:</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Fred T. Bauer</w:t>
      </w:r>
    </w:p>
    <w:p>
      <w:pPr>
        <w:spacing w:after="0" w:line="11" w:lineRule="exact"/>
        <w:rPr>
          <w:sz w:val="20"/>
          <w:szCs w:val="20"/>
          <w:color w:val="auto"/>
        </w:rPr>
      </w:pPr>
    </w:p>
    <w:p>
      <w:pPr>
        <w:sectPr>
          <w:pgSz w:w="11900" w:h="16838" w:orient="portrait"/>
          <w:cols w:equalWidth="0" w:num="2">
            <w:col w:w="1464" w:space="540"/>
            <w:col w:w="8760"/>
          </w:cols>
          <w:pgMar w:left="896" w:top="787" w:right="239" w:bottom="1440" w:gutter="0" w:footer="0" w:header="0"/>
          <w:type w:val="continuous"/>
        </w:sectPr>
      </w:pPr>
    </w:p>
    <w:p>
      <w:pPr>
        <w:ind w:left="3244"/>
        <w:spacing w:after="0"/>
        <w:rPr>
          <w:sz w:val="20"/>
          <w:szCs w:val="20"/>
          <w:color w:val="auto"/>
        </w:rPr>
      </w:pPr>
      <w:r>
        <w:rPr>
          <w:rFonts w:ascii="Arial" w:cs="Arial" w:eastAsia="Arial" w:hAnsi="Arial"/>
          <w:sz w:val="20"/>
          <w:szCs w:val="20"/>
          <w:color w:val="auto"/>
        </w:rPr>
        <w:t>2775 Lakeshore Drive</w:t>
      </w:r>
    </w:p>
    <w:p>
      <w:pPr>
        <w:ind w:left="3244"/>
        <w:spacing w:after="0"/>
        <w:rPr>
          <w:sz w:val="20"/>
          <w:szCs w:val="20"/>
          <w:color w:val="auto"/>
        </w:rPr>
      </w:pPr>
      <w:r>
        <w:rPr>
          <w:rFonts w:ascii="Arial" w:cs="Arial" w:eastAsia="Arial" w:hAnsi="Arial"/>
          <w:sz w:val="20"/>
          <w:szCs w:val="20"/>
          <w:color w:val="auto"/>
        </w:rPr>
        <w:t>Holland, Michigan 49424</w:t>
      </w:r>
    </w:p>
    <w:p>
      <w:pPr>
        <w:ind w:left="3244"/>
        <w:spacing w:after="0"/>
        <w:rPr>
          <w:sz w:val="20"/>
          <w:szCs w:val="20"/>
          <w:color w:val="auto"/>
        </w:rPr>
      </w:pPr>
      <w:r>
        <w:rPr>
          <w:rFonts w:ascii="Arial" w:cs="Arial" w:eastAsia="Arial" w:hAnsi="Arial"/>
          <w:sz w:val="20"/>
          <w:szCs w:val="20"/>
          <w:color w:val="auto"/>
        </w:rPr>
        <w:t>loisellen@gmail.com</w:t>
      </w:r>
    </w:p>
    <w:p>
      <w:pPr>
        <w:spacing w:after="0" w:line="216" w:lineRule="exact"/>
        <w:rPr>
          <w:sz w:val="20"/>
          <w:szCs w:val="20"/>
          <w:color w:val="auto"/>
        </w:rPr>
      </w:pPr>
    </w:p>
    <w:p>
      <w:pPr>
        <w:ind w:left="3244"/>
        <w:spacing w:after="0"/>
        <w:rPr>
          <w:sz w:val="20"/>
          <w:szCs w:val="20"/>
          <w:color w:val="auto"/>
        </w:rPr>
      </w:pPr>
      <w:r>
        <w:rPr>
          <w:rFonts w:ascii="Arial" w:cs="Arial" w:eastAsia="Arial" w:hAnsi="Arial"/>
          <w:sz w:val="20"/>
          <w:szCs w:val="20"/>
          <w:color w:val="auto"/>
        </w:rPr>
        <w:t>with a copy (which shall not serve as notice) to:</w:t>
      </w:r>
    </w:p>
    <w:p>
      <w:pPr>
        <w:spacing w:after="0" w:line="215" w:lineRule="exact"/>
        <w:rPr>
          <w:sz w:val="20"/>
          <w:szCs w:val="20"/>
          <w:color w:val="auto"/>
        </w:rPr>
      </w:pPr>
    </w:p>
    <w:p>
      <w:pPr>
        <w:ind w:left="3244"/>
        <w:spacing w:after="0"/>
        <w:rPr>
          <w:sz w:val="20"/>
          <w:szCs w:val="20"/>
          <w:color w:val="auto"/>
        </w:rPr>
      </w:pPr>
      <w:r>
        <w:rPr>
          <w:rFonts w:ascii="Arial" w:cs="Arial" w:eastAsia="Arial" w:hAnsi="Arial"/>
          <w:sz w:val="20"/>
          <w:szCs w:val="20"/>
          <w:color w:val="auto"/>
        </w:rPr>
        <w:t>John Levi and Chris Abbinante</w:t>
      </w:r>
    </w:p>
    <w:p>
      <w:pPr>
        <w:ind w:left="3244"/>
        <w:spacing w:after="0"/>
        <w:rPr>
          <w:sz w:val="20"/>
          <w:szCs w:val="20"/>
          <w:color w:val="auto"/>
        </w:rPr>
      </w:pPr>
      <w:r>
        <w:rPr>
          <w:rFonts w:ascii="Arial" w:cs="Arial" w:eastAsia="Arial" w:hAnsi="Arial"/>
          <w:sz w:val="20"/>
          <w:szCs w:val="20"/>
          <w:color w:val="auto"/>
        </w:rPr>
        <w:t>Sidley Austin LLP</w:t>
      </w:r>
    </w:p>
    <w:p>
      <w:pPr>
        <w:ind w:left="3244"/>
        <w:spacing w:after="0"/>
        <w:rPr>
          <w:sz w:val="20"/>
          <w:szCs w:val="20"/>
          <w:color w:val="auto"/>
        </w:rPr>
      </w:pPr>
      <w:r>
        <w:rPr>
          <w:rFonts w:ascii="Arial" w:cs="Arial" w:eastAsia="Arial" w:hAnsi="Arial"/>
          <w:sz w:val="20"/>
          <w:szCs w:val="20"/>
          <w:color w:val="auto"/>
        </w:rPr>
        <w:t>One South Dearborn Street</w:t>
      </w:r>
    </w:p>
    <w:p>
      <w:pPr>
        <w:ind w:left="3244"/>
        <w:spacing w:after="0"/>
        <w:rPr>
          <w:sz w:val="20"/>
          <w:szCs w:val="20"/>
          <w:color w:val="auto"/>
        </w:rPr>
      </w:pPr>
      <w:r>
        <w:rPr>
          <w:rFonts w:ascii="Arial" w:cs="Arial" w:eastAsia="Arial" w:hAnsi="Arial"/>
          <w:sz w:val="20"/>
          <w:szCs w:val="20"/>
          <w:color w:val="auto"/>
        </w:rPr>
        <w:t>Chicago, Illinois 60603</w:t>
      </w:r>
    </w:p>
    <w:p>
      <w:pPr>
        <w:ind w:left="3244"/>
        <w:spacing w:after="0"/>
        <w:rPr>
          <w:sz w:val="20"/>
          <w:szCs w:val="20"/>
          <w:color w:val="auto"/>
        </w:rPr>
      </w:pPr>
      <w:r>
        <w:rPr>
          <w:rFonts w:ascii="Arial" w:cs="Arial" w:eastAsia="Arial" w:hAnsi="Arial"/>
          <w:sz w:val="20"/>
          <w:szCs w:val="20"/>
          <w:color w:val="auto"/>
        </w:rPr>
        <w:t>jlevi@sidley.com</w:t>
      </w:r>
    </w:p>
    <w:p>
      <w:pPr>
        <w:ind w:left="3244"/>
        <w:spacing w:after="0"/>
        <w:rPr>
          <w:sz w:val="20"/>
          <w:szCs w:val="20"/>
          <w:color w:val="auto"/>
        </w:rPr>
      </w:pPr>
      <w:r>
        <w:rPr>
          <w:rFonts w:ascii="Arial" w:cs="Arial" w:eastAsia="Arial" w:hAnsi="Arial"/>
          <w:sz w:val="20"/>
          <w:szCs w:val="20"/>
          <w:color w:val="auto"/>
        </w:rPr>
        <w:t>cabbinante@sidley.com</w:t>
      </w:r>
    </w:p>
    <w:p>
      <w:pPr>
        <w:spacing w:after="0" w:line="192" w:lineRule="exact"/>
        <w:rPr>
          <w:sz w:val="20"/>
          <w:szCs w:val="20"/>
          <w:color w:val="auto"/>
        </w:rPr>
      </w:pPr>
    </w:p>
    <w:p>
      <w:pPr>
        <w:jc w:val="both"/>
        <w:ind w:left="-656" w:firstLine="656"/>
        <w:spacing w:after="0" w:line="255" w:lineRule="auto"/>
        <w:tabs>
          <w:tab w:leader="none" w:pos="528"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 xml:space="preserve">Binding Effect; Assignability. </w:t>
      </w:r>
      <w:r>
        <w:rPr>
          <w:rFonts w:ascii="Arial" w:cs="Arial" w:eastAsia="Arial" w:hAnsi="Arial"/>
          <w:sz w:val="20"/>
          <w:szCs w:val="20"/>
          <w:color w:val="auto"/>
        </w:rPr>
        <w:t>This Redemption Agreement shall be binding upon and inure to the benefit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parties hereto, their legal representatives, successors, and assigns. This Redemption Agreement may not be assigned by FTB or the Corporation.</w:t>
      </w:r>
    </w:p>
    <w:p>
      <w:pPr>
        <w:spacing w:after="0" w:line="171" w:lineRule="exact"/>
        <w:rPr>
          <w:rFonts w:ascii="Arial" w:cs="Arial" w:eastAsia="Arial" w:hAnsi="Arial"/>
          <w:sz w:val="20"/>
          <w:szCs w:val="20"/>
          <w:color w:val="auto"/>
        </w:rPr>
      </w:pPr>
    </w:p>
    <w:p>
      <w:pPr>
        <w:jc w:val="both"/>
        <w:ind w:left="-656" w:firstLine="656"/>
        <w:spacing w:after="0" w:line="255" w:lineRule="auto"/>
        <w:tabs>
          <w:tab w:leader="none" w:pos="555"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 xml:space="preserve">Redemption Dates. </w:t>
      </w:r>
      <w:r>
        <w:rPr>
          <w:rFonts w:ascii="Arial" w:cs="Arial" w:eastAsia="Arial" w:hAnsi="Arial"/>
          <w:sz w:val="20"/>
          <w:szCs w:val="20"/>
          <w:color w:val="auto"/>
        </w:rPr>
        <w:t>If the Redemption Date is not a Business Day, then the Redemption Date shall be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Day following the scheduled Redemption Date. "Business Day" means any day on which banks are not required or authorized to close in the City of Grand Rapids, Michigan.</w:t>
      </w:r>
    </w:p>
    <w:p>
      <w:pPr>
        <w:spacing w:after="0" w:line="171" w:lineRule="exact"/>
        <w:rPr>
          <w:rFonts w:ascii="Arial" w:cs="Arial" w:eastAsia="Arial" w:hAnsi="Arial"/>
          <w:sz w:val="20"/>
          <w:szCs w:val="20"/>
          <w:color w:val="auto"/>
        </w:rPr>
      </w:pPr>
    </w:p>
    <w:p>
      <w:pPr>
        <w:ind w:left="-656" w:firstLine="656"/>
        <w:spacing w:after="0" w:line="272" w:lineRule="auto"/>
        <w:tabs>
          <w:tab w:leader="none" w:pos="542"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The invalidity of any paragraph or subparagraph of this Redemption Agreement shall not affect the</w:t>
      </w:r>
      <w:r>
        <w:rPr>
          <w:rFonts w:ascii="Arial" w:cs="Arial" w:eastAsia="Arial" w:hAnsi="Arial"/>
          <w:sz w:val="20"/>
          <w:szCs w:val="20"/>
          <w:b w:val="1"/>
          <w:bCs w:val="1"/>
          <w:color w:val="auto"/>
        </w:rPr>
        <w:t xml:space="preserve"> </w:t>
      </w:r>
      <w:r>
        <w:rPr>
          <w:rFonts w:ascii="Arial" w:cs="Arial" w:eastAsia="Arial" w:hAnsi="Arial"/>
          <w:sz w:val="20"/>
          <w:szCs w:val="20"/>
          <w:color w:val="auto"/>
        </w:rPr>
        <w:t>validity of any other paragraph or subparagraph of this Redemption Agreement.</w:t>
      </w:r>
    </w:p>
    <w:p>
      <w:pPr>
        <w:spacing w:after="0" w:line="153" w:lineRule="exact"/>
        <w:rPr>
          <w:rFonts w:ascii="Arial" w:cs="Arial" w:eastAsia="Arial" w:hAnsi="Arial"/>
          <w:sz w:val="20"/>
          <w:szCs w:val="20"/>
          <w:color w:val="auto"/>
        </w:rPr>
      </w:pPr>
    </w:p>
    <w:p>
      <w:pPr>
        <w:jc w:val="both"/>
        <w:ind w:left="-656" w:firstLine="656"/>
        <w:spacing w:after="0" w:line="246" w:lineRule="auto"/>
        <w:tabs>
          <w:tab w:leader="none" w:pos="528"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 xml:space="preserve">Applicable Law. </w:t>
      </w:r>
      <w:r>
        <w:rPr>
          <w:rFonts w:ascii="Arial" w:cs="Arial" w:eastAsia="Arial" w:hAnsi="Arial"/>
          <w:sz w:val="20"/>
          <w:szCs w:val="20"/>
          <w:color w:val="auto"/>
        </w:rPr>
        <w:t>This Redemption Agreement shall be construed under the laws of the State of Michigan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regard to its conflicts of law provisions. The parties agree that any judicial action involving a dispute arising under this Redemption Agreement will be filed, heard and decided in the Ottawa County Circuit Court or the U.S. federal district court for such geographic area. The parties agree that they will subject themselves to the personal jurisdiction and venue of either court, regardless of where FTB or the Corporation may be located at the time any action may be commenced. The parties agree that the locations specified above are mutually convenient forums and that each of the parties conducts business in Ottawa County.</w:t>
      </w:r>
    </w:p>
    <w:p>
      <w:pPr>
        <w:spacing w:after="0" w:line="179" w:lineRule="exact"/>
        <w:rPr>
          <w:rFonts w:ascii="Arial" w:cs="Arial" w:eastAsia="Arial" w:hAnsi="Arial"/>
          <w:sz w:val="20"/>
          <w:szCs w:val="20"/>
          <w:color w:val="auto"/>
        </w:rPr>
      </w:pPr>
    </w:p>
    <w:p>
      <w:pPr>
        <w:jc w:val="both"/>
        <w:ind w:left="-656" w:firstLine="656"/>
        <w:spacing w:after="0" w:line="247" w:lineRule="auto"/>
        <w:tabs>
          <w:tab w:leader="none" w:pos="461"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Except for the CEO and Chairman Retirement and Release Agreement effective as of December</w:t>
      </w:r>
      <w:r>
        <w:rPr>
          <w:rFonts w:ascii="Arial" w:cs="Arial" w:eastAsia="Arial" w:hAnsi="Arial"/>
          <w:sz w:val="20"/>
          <w:szCs w:val="20"/>
          <w:b w:val="1"/>
          <w:bCs w:val="1"/>
          <w:color w:val="auto"/>
        </w:rPr>
        <w:t xml:space="preserve"> </w:t>
      </w:r>
      <w:r>
        <w:rPr>
          <w:rFonts w:ascii="Arial" w:cs="Arial" w:eastAsia="Arial" w:hAnsi="Arial"/>
          <w:sz w:val="20"/>
          <w:szCs w:val="20"/>
          <w:color w:val="auto"/>
        </w:rPr>
        <w:t>31, 2017 (“Retirement Agreement”) and the Employment Agreement effective as of January 1, 2018 (the “Employment Agreement” and collectively, the “Additional Agreements”) and Employee’s stock option award agreements: (a) this Redemption Agreement contains the entire understanding of the parties and supersedes all previous verbal and written agreements; and (b) there are</w:t>
      </w:r>
    </w:p>
    <w:p>
      <w:pPr>
        <w:sectPr>
          <w:pgSz w:w="11900" w:h="16838" w:orient="portrait"/>
          <w:cols w:equalWidth="0" w:num="1">
            <w:col w:w="10764"/>
          </w:cols>
          <w:pgMar w:left="896" w:top="787" w:right="239" w:bottom="1440" w:gutter="0" w:footer="0" w:header="0"/>
          <w:type w:val="continuous"/>
        </w:sectPr>
      </w:pPr>
    </w:p>
    <w:bookmarkStart w:id="84" w:name="page85"/>
    <w:bookmarkEnd w:id="84"/>
    <w:p>
      <w:pPr>
        <w:jc w:val="both"/>
        <w:spacing w:after="0" w:line="243" w:lineRule="auto"/>
        <w:rPr>
          <w:sz w:val="20"/>
          <w:szCs w:val="20"/>
          <w:color w:val="auto"/>
        </w:rPr>
      </w:pPr>
      <w:r>
        <w:rPr>
          <w:rFonts w:ascii="Arial" w:cs="Arial" w:eastAsia="Arial" w:hAnsi="Arial"/>
          <w:sz w:val="20"/>
          <w:szCs w:val="20"/>
          <w:color w:val="auto"/>
        </w:rPr>
        <w:t>no other agreements, representations or warranties not referenced or set forth in this Redemption Agreement. This Redemption Agreement shall only be altered, modified, or amended in writing signed by the parties. In the event of a conflict between this Redemption Agreement and the Retirement Agreement, the terms of the Retirement Agreement shall govern.</w:t>
      </w:r>
    </w:p>
    <w:p>
      <w:pPr>
        <w:spacing w:after="0" w:line="182" w:lineRule="exact"/>
        <w:rPr>
          <w:sz w:val="20"/>
          <w:szCs w:val="20"/>
          <w:color w:val="auto"/>
        </w:rPr>
      </w:pPr>
    </w:p>
    <w:p>
      <w:pPr>
        <w:jc w:val="both"/>
        <w:ind w:firstLine="656"/>
        <w:spacing w:after="0" w:line="247" w:lineRule="auto"/>
        <w:tabs>
          <w:tab w:leader="none" w:pos="1211"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 xml:space="preserve">General Provisions. </w:t>
      </w:r>
      <w:r>
        <w:rPr>
          <w:rFonts w:ascii="Arial" w:cs="Arial" w:eastAsia="Arial" w:hAnsi="Arial"/>
          <w:sz w:val="20"/>
          <w:szCs w:val="20"/>
          <w:color w:val="auto"/>
        </w:rPr>
        <w:t>This Redemption Agreement may be executed in counterparts, together such 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comprise one and the same binding agreement. Executed signatures may be exchanged electronically between the parties, and such counterpart shall be effective and have the same effect as the original. The headings in this Redemption Agreement are for convenience of the parties only, and shall not be considered when interpreting or applying the provisions of this Redemption Agreement.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parties have signed this Agreement this 5th day of January, 2018.</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80" w:type="dxa"/>
            <w:vAlign w:val="bottom"/>
            <w:gridSpan w:val="3"/>
          </w:tcPr>
          <w:p>
            <w:pPr>
              <w:spacing w:after="0"/>
              <w:rPr>
                <w:sz w:val="20"/>
                <w:szCs w:val="20"/>
                <w:color w:val="auto"/>
              </w:rPr>
            </w:pPr>
            <w:r>
              <w:rPr>
                <w:rFonts w:ascii="Arial" w:cs="Arial" w:eastAsia="Arial" w:hAnsi="Arial"/>
                <w:sz w:val="20"/>
                <w:szCs w:val="20"/>
                <w:color w:val="auto"/>
              </w:rPr>
              <w:t>FRED T. BAUER</w:t>
            </w:r>
          </w:p>
        </w:tc>
        <w:tc>
          <w:tcPr>
            <w:tcW w:w="4300" w:type="dxa"/>
            <w:vAlign w:val="bottom"/>
            <w:gridSpan w:val="7"/>
          </w:tcPr>
          <w:p>
            <w:pPr>
              <w:ind w:left="220"/>
              <w:spacing w:after="0"/>
              <w:rPr>
                <w:sz w:val="20"/>
                <w:szCs w:val="20"/>
                <w:color w:val="auto"/>
              </w:rPr>
            </w:pPr>
            <w:r>
              <w:rPr>
                <w:rFonts w:ascii="Arial" w:cs="Arial" w:eastAsia="Arial" w:hAnsi="Arial"/>
                <w:sz w:val="20"/>
                <w:szCs w:val="20"/>
                <w:color w:val="auto"/>
              </w:rPr>
              <w:t>GENTEX CORPORATION</w:t>
            </w:r>
          </w:p>
        </w:tc>
      </w:tr>
      <w:tr>
        <w:trPr>
          <w:trHeight w:val="401"/>
        </w:trPr>
        <w:tc>
          <w:tcPr>
            <w:tcW w:w="2600" w:type="dxa"/>
            <w:vAlign w:val="bottom"/>
            <w:gridSpan w:val="4"/>
          </w:tcPr>
          <w:p>
            <w:pPr>
              <w:spacing w:after="0"/>
              <w:rPr>
                <w:sz w:val="20"/>
                <w:szCs w:val="20"/>
                <w:color w:val="auto"/>
              </w:rPr>
            </w:pPr>
            <w:r>
              <w:rPr>
                <w:rFonts w:ascii="Arial" w:cs="Arial" w:eastAsia="Arial" w:hAnsi="Arial"/>
                <w:sz w:val="20"/>
                <w:szCs w:val="20"/>
                <w:color w:val="auto"/>
              </w:rPr>
              <w:t>Signature: /s/ Fred T. Bauer</w:t>
            </w:r>
          </w:p>
        </w:tc>
        <w:tc>
          <w:tcPr>
            <w:tcW w:w="480" w:type="dxa"/>
            <w:vAlign w:val="bottom"/>
          </w:tcPr>
          <w:p>
            <w:pPr>
              <w:spacing w:after="0"/>
              <w:rPr>
                <w:sz w:val="24"/>
                <w:szCs w:val="24"/>
                <w:color w:val="auto"/>
              </w:rPr>
            </w:pPr>
          </w:p>
        </w:tc>
        <w:tc>
          <w:tcPr>
            <w:tcW w:w="3400" w:type="dxa"/>
            <w:vAlign w:val="bottom"/>
            <w:gridSpan w:val="5"/>
          </w:tcPr>
          <w:p>
            <w:pPr>
              <w:ind w:left="180"/>
              <w:spacing w:after="0"/>
              <w:rPr>
                <w:sz w:val="20"/>
                <w:szCs w:val="20"/>
                <w:color w:val="auto"/>
              </w:rPr>
            </w:pPr>
            <w:r>
              <w:rPr>
                <w:rFonts w:ascii="Arial" w:cs="Arial" w:eastAsia="Arial" w:hAnsi="Arial"/>
                <w:sz w:val="20"/>
                <w:szCs w:val="20"/>
                <w:color w:val="auto"/>
              </w:rPr>
              <w:t>Signature: /s/ James Wallace</w:t>
            </w:r>
          </w:p>
        </w:tc>
      </w:tr>
      <w:tr>
        <w:trPr>
          <w:trHeight w:val="20"/>
        </w:trPr>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426"/>
        </w:trPr>
        <w:tc>
          <w:tcPr>
            <w:tcW w:w="2180" w:type="dxa"/>
            <w:vAlign w:val="bottom"/>
            <w:gridSpan w:val="3"/>
          </w:tcPr>
          <w:p>
            <w:pPr>
              <w:spacing w:after="0"/>
              <w:rPr>
                <w:sz w:val="20"/>
                <w:szCs w:val="20"/>
                <w:color w:val="auto"/>
              </w:rPr>
            </w:pPr>
            <w:r>
              <w:rPr>
                <w:rFonts w:ascii="Arial" w:cs="Arial" w:eastAsia="Arial" w:hAnsi="Arial"/>
                <w:sz w:val="20"/>
                <w:szCs w:val="20"/>
                <w:color w:val="auto"/>
              </w:rPr>
              <w:t>Print: Fred T. Bauer</w:t>
            </w:r>
          </w:p>
        </w:tc>
        <w:tc>
          <w:tcPr>
            <w:tcW w:w="420" w:type="dxa"/>
            <w:vAlign w:val="bottom"/>
          </w:tcPr>
          <w:p>
            <w:pPr>
              <w:spacing w:after="0"/>
              <w:rPr>
                <w:sz w:val="24"/>
                <w:szCs w:val="24"/>
                <w:color w:val="auto"/>
              </w:rPr>
            </w:pPr>
          </w:p>
        </w:tc>
        <w:tc>
          <w:tcPr>
            <w:tcW w:w="3880" w:type="dxa"/>
            <w:vAlign w:val="bottom"/>
            <w:gridSpan w:val="6"/>
          </w:tcPr>
          <w:p>
            <w:pPr>
              <w:ind w:left="240"/>
              <w:spacing w:after="0"/>
              <w:rPr>
                <w:sz w:val="20"/>
                <w:szCs w:val="20"/>
                <w:color w:val="auto"/>
              </w:rPr>
            </w:pPr>
            <w:r>
              <w:rPr>
                <w:rFonts w:ascii="Arial" w:cs="Arial" w:eastAsia="Arial" w:hAnsi="Arial"/>
                <w:sz w:val="20"/>
                <w:szCs w:val="20"/>
                <w:color w:val="auto"/>
              </w:rPr>
              <w:t>Print: James Wallace, Chairman</w:t>
            </w: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6"/>
        </w:trPr>
        <w:tc>
          <w:tcPr>
            <w:tcW w:w="2180" w:type="dxa"/>
            <w:vAlign w:val="bottom"/>
            <w:gridSpan w:val="3"/>
          </w:tcPr>
          <w:p>
            <w:pPr>
              <w:spacing w:after="0"/>
              <w:rPr>
                <w:sz w:val="20"/>
                <w:szCs w:val="20"/>
                <w:color w:val="auto"/>
              </w:rPr>
            </w:pPr>
            <w:r>
              <w:rPr>
                <w:rFonts w:ascii="Arial" w:cs="Arial" w:eastAsia="Arial" w:hAnsi="Arial"/>
                <w:sz w:val="20"/>
                <w:szCs w:val="20"/>
                <w:color w:val="auto"/>
              </w:rPr>
              <w:t>Date: January 5, 2018</w:t>
            </w:r>
          </w:p>
        </w:tc>
        <w:tc>
          <w:tcPr>
            <w:tcW w:w="420" w:type="dxa"/>
            <w:vAlign w:val="bottom"/>
          </w:tcPr>
          <w:p>
            <w:pPr>
              <w:spacing w:after="0"/>
              <w:rPr>
                <w:sz w:val="24"/>
                <w:szCs w:val="24"/>
                <w:color w:val="auto"/>
              </w:rPr>
            </w:pPr>
          </w:p>
        </w:tc>
        <w:tc>
          <w:tcPr>
            <w:tcW w:w="3880" w:type="dxa"/>
            <w:vAlign w:val="bottom"/>
            <w:gridSpan w:val="6"/>
          </w:tcPr>
          <w:p>
            <w:pPr>
              <w:ind w:left="200"/>
              <w:spacing w:after="0"/>
              <w:rPr>
                <w:sz w:val="20"/>
                <w:szCs w:val="20"/>
                <w:color w:val="auto"/>
              </w:rPr>
            </w:pPr>
            <w:r>
              <w:rPr>
                <w:rFonts w:ascii="Arial" w:cs="Arial" w:eastAsia="Arial" w:hAnsi="Arial"/>
                <w:sz w:val="20"/>
                <w:szCs w:val="20"/>
                <w:color w:val="auto"/>
              </w:rPr>
              <w:t>Date: January 5, 2018</w:t>
            </w:r>
          </w:p>
        </w:tc>
      </w:tr>
      <w:tr>
        <w:trPr>
          <w:trHeight w:val="20"/>
        </w:trPr>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ectPr>
          <w:pgSz w:w="11900" w:h="16838" w:orient="portrait"/>
          <w:cols w:equalWidth="0" w:num="1">
            <w:col w:w="11420"/>
          </w:cols>
          <w:pgMar w:left="240" w:top="59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List of Gentex Corporation Subsidiaries</w:t>
      </w:r>
    </w:p>
    <w:p>
      <w:pPr>
        <w:spacing w:after="0" w:line="247" w:lineRule="exact"/>
        <w:rPr>
          <w:sz w:val="20"/>
          <w:szCs w:val="20"/>
          <w:color w:val="auto"/>
        </w:rPr>
      </w:pPr>
    </w:p>
    <w:p>
      <w:pPr>
        <w:ind w:left="328" w:hanging="328"/>
        <w:spacing w:after="0"/>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E.C. Aviation Services, Inc., a Michigan corporation, is a wholly-owned subsidiary of Gentex Corporation.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Gentex Holdings, Inc., a Michigan corporation, is a wholly-owned subsidiary of Gentex Corporation.</w:t>
      </w:r>
    </w:p>
    <w:p>
      <w:pPr>
        <w:spacing w:after="0" w:line="225" w:lineRule="exact"/>
        <w:rPr>
          <w:rFonts w:ascii="Arial" w:cs="Arial" w:eastAsia="Arial" w:hAnsi="Arial"/>
          <w:sz w:val="18"/>
          <w:szCs w:val="18"/>
          <w:color w:val="auto"/>
        </w:rPr>
      </w:pPr>
    </w:p>
    <w:p>
      <w:pPr>
        <w:ind w:left="328" w:hanging="328"/>
        <w:spacing w:after="0" w:line="262"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Gentex GmbH, a German limited liability company, is a subsidiary 50% owned by Gentex Corporation and 50% owned by Gentex Holdings, Inc.</w:t>
      </w:r>
    </w:p>
    <w:p>
      <w:pPr>
        <w:spacing w:after="0" w:line="196" w:lineRule="exact"/>
        <w:rPr>
          <w:rFonts w:ascii="Arial" w:cs="Arial" w:eastAsia="Arial" w:hAnsi="Arial"/>
          <w:sz w:val="18"/>
          <w:szCs w:val="18"/>
          <w:color w:val="auto"/>
        </w:rPr>
      </w:pPr>
    </w:p>
    <w:p>
      <w:pPr>
        <w:ind w:left="328" w:hanging="328"/>
        <w:spacing w:after="0"/>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Gentex Japan, Inc., a Japanese corporation, is a wholly-owned subsidiary of Gentex Corporation.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Gentex Mirrors Ltd., a United Kingdom limited liability company, is a wholly-owned subsidiary of Gentex Corporation.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Gentex France, SAS, a French simplified liability corporation, is a wholly-owned subsidiary of Gentex Corporation.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Gentex Technologies Korea Co., Ltd., a Korean limited stock company, is a wholly-owned subsidiary of Gentex Corporation.</w:t>
      </w:r>
    </w:p>
    <w:p>
      <w:pPr>
        <w:spacing w:after="0" w:line="225" w:lineRule="exact"/>
        <w:rPr>
          <w:rFonts w:ascii="Arial" w:cs="Arial" w:eastAsia="Arial" w:hAnsi="Arial"/>
          <w:sz w:val="18"/>
          <w:szCs w:val="18"/>
          <w:color w:val="auto"/>
        </w:rPr>
      </w:pPr>
    </w:p>
    <w:p>
      <w:pPr>
        <w:ind w:left="328" w:right="20" w:hanging="328"/>
        <w:spacing w:after="0" w:line="262"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Gentex (Shanghai) Electronics Technology Co., Inc., a Chinese limited liability company, is a wholly-owned subsidiary of Gentex Corporation.</w:t>
      </w:r>
    </w:p>
    <w:p>
      <w:pPr>
        <w:sectPr>
          <w:pgSz w:w="11900" w:h="16838" w:orient="portrait"/>
          <w:cols w:equalWidth="0" w:num="1">
            <w:col w:w="11088"/>
          </w:cols>
          <w:pgMar w:left="572" w:top="576"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(Form S-8 Nos. 333-216273, 333-198468, 333-101642, 333-183412, 033-65321, 333-04661, 333-105858, 333-118213, and 333-188893) pertaining to various stock option and incentive plans of Gentex Corporation of our reports dated February 21, 2018, with respect to the consolidated financial statements of Gentex Corporation and subsidiaries, and the effectiveness of internal control over financial reporting of Gentex Corporation, included in this Annual Report (Form 10-K)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ectPr>
          <w:pgSz w:w="11900" w:h="16838" w:orient="portrait"/>
          <w:cols w:equalWidth="0" w:num="1">
            <w:col w:w="11420"/>
          </w:cols>
          <w:pgMar w:left="240" w:top="576"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25" w:lineRule="exact"/>
        <w:rPr>
          <w:sz w:val="20"/>
          <w:szCs w:val="20"/>
          <w:color w:val="auto"/>
        </w:rPr>
      </w:pPr>
    </w:p>
    <w:p>
      <w:pPr>
        <w:ind w:left="200" w:hanging="192"/>
        <w:spacing w:after="0"/>
        <w:tabs>
          <w:tab w:leader="none" w:pos="2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Gentex Corporation;</w:t>
      </w:r>
    </w:p>
    <w:p>
      <w:pPr>
        <w:spacing w:after="0" w:line="225" w:lineRule="exact"/>
        <w:rPr>
          <w:rFonts w:ascii="Arial" w:cs="Arial" w:eastAsia="Arial" w:hAnsi="Arial"/>
          <w:sz w:val="18"/>
          <w:szCs w:val="18"/>
          <w:color w:val="auto"/>
        </w:rPr>
      </w:pPr>
    </w:p>
    <w:p>
      <w:pPr>
        <w:jc w:val="both"/>
        <w:ind w:left="260" w:hanging="252"/>
        <w:spacing w:after="0" w:line="256" w:lineRule="auto"/>
        <w:tabs>
          <w:tab w:leader="none" w:pos="2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1" w:lineRule="exact"/>
        <w:rPr>
          <w:rFonts w:ascii="Arial" w:cs="Arial" w:eastAsia="Arial" w:hAnsi="Arial"/>
          <w:sz w:val="18"/>
          <w:szCs w:val="18"/>
          <w:color w:val="auto"/>
        </w:rPr>
      </w:pPr>
    </w:p>
    <w:p>
      <w:pPr>
        <w:jc w:val="both"/>
        <w:ind w:left="260" w:hanging="252"/>
        <w:spacing w:after="0" w:line="256" w:lineRule="auto"/>
        <w:tabs>
          <w:tab w:leader="none" w:pos="217"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1" w:lineRule="exact"/>
        <w:rPr>
          <w:rFonts w:ascii="Arial" w:cs="Arial" w:eastAsia="Arial" w:hAnsi="Arial"/>
          <w:sz w:val="18"/>
          <w:szCs w:val="18"/>
          <w:color w:val="auto"/>
        </w:rPr>
      </w:pPr>
    </w:p>
    <w:p>
      <w:pPr>
        <w:jc w:val="both"/>
        <w:ind w:left="260" w:hanging="252"/>
        <w:spacing w:after="0" w:line="256" w:lineRule="auto"/>
        <w:tabs>
          <w:tab w:leader="none" w:pos="21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firstLine="401"/>
        <w:spacing w:after="0" w:line="256" w:lineRule="auto"/>
        <w:tabs>
          <w:tab w:leader="none" w:pos="1289" w:val="left"/>
        </w:tabs>
        <w:numPr>
          <w:ilvl w:val="2"/>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1" w:lineRule="exact"/>
        <w:rPr>
          <w:rFonts w:ascii="Arial" w:cs="Arial" w:eastAsia="Arial" w:hAnsi="Arial"/>
          <w:sz w:val="18"/>
          <w:szCs w:val="18"/>
          <w:color w:val="auto"/>
        </w:rPr>
      </w:pPr>
    </w:p>
    <w:p>
      <w:pPr>
        <w:jc w:val="both"/>
        <w:ind w:left="660" w:firstLine="401"/>
        <w:spacing w:after="0" w:line="256" w:lineRule="auto"/>
        <w:tabs>
          <w:tab w:leader="none" w:pos="1283" w:val="left"/>
        </w:tabs>
        <w:numPr>
          <w:ilvl w:val="2"/>
          <w:numId w:val="71"/>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firstLine="401"/>
        <w:spacing w:after="0" w:line="256" w:lineRule="auto"/>
        <w:tabs>
          <w:tab w:leader="none" w:pos="1299" w:val="left"/>
        </w:tabs>
        <w:numPr>
          <w:ilvl w:val="2"/>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1" w:lineRule="exact"/>
        <w:rPr>
          <w:rFonts w:ascii="Arial" w:cs="Arial" w:eastAsia="Arial" w:hAnsi="Arial"/>
          <w:sz w:val="18"/>
          <w:szCs w:val="18"/>
          <w:color w:val="auto"/>
        </w:rPr>
      </w:pPr>
    </w:p>
    <w:p>
      <w:pPr>
        <w:jc w:val="both"/>
        <w:ind w:left="660" w:firstLine="401"/>
        <w:spacing w:after="0" w:line="256" w:lineRule="auto"/>
        <w:tabs>
          <w:tab w:leader="none" w:pos="1292" w:val="left"/>
        </w:tabs>
        <w:numPr>
          <w:ilvl w:val="2"/>
          <w:numId w:val="71"/>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260" w:hanging="252"/>
        <w:spacing w:after="0" w:line="262" w:lineRule="auto"/>
        <w:tabs>
          <w:tab w:leader="none" w:pos="21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660" w:hanging="247"/>
        <w:spacing w:after="0" w:line="262" w:lineRule="auto"/>
        <w:tabs>
          <w:tab w:leader="none" w:pos="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247"/>
        <w:spacing w:after="0" w:line="262" w:lineRule="auto"/>
        <w:tabs>
          <w:tab w:leader="none" w:pos="627"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2018</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2"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25" w:lineRule="exact"/>
        <w:rPr>
          <w:sz w:val="20"/>
          <w:szCs w:val="20"/>
          <w:color w:val="auto"/>
        </w:rPr>
      </w:pPr>
    </w:p>
    <w:p>
      <w:pPr>
        <w:ind w:left="200" w:hanging="192"/>
        <w:spacing w:after="0"/>
        <w:tabs>
          <w:tab w:leader="none" w:pos="2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Gentex Corporation;</w:t>
      </w:r>
    </w:p>
    <w:p>
      <w:pPr>
        <w:spacing w:after="0" w:line="225" w:lineRule="exact"/>
        <w:rPr>
          <w:rFonts w:ascii="Arial" w:cs="Arial" w:eastAsia="Arial" w:hAnsi="Arial"/>
          <w:sz w:val="18"/>
          <w:szCs w:val="18"/>
          <w:color w:val="auto"/>
        </w:rPr>
      </w:pPr>
    </w:p>
    <w:p>
      <w:pPr>
        <w:jc w:val="both"/>
        <w:ind w:left="260" w:hanging="252"/>
        <w:spacing w:after="0" w:line="256" w:lineRule="auto"/>
        <w:tabs>
          <w:tab w:leader="none" w:pos="2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1" w:lineRule="exact"/>
        <w:rPr>
          <w:rFonts w:ascii="Arial" w:cs="Arial" w:eastAsia="Arial" w:hAnsi="Arial"/>
          <w:sz w:val="18"/>
          <w:szCs w:val="18"/>
          <w:color w:val="auto"/>
        </w:rPr>
      </w:pPr>
    </w:p>
    <w:p>
      <w:pPr>
        <w:jc w:val="both"/>
        <w:ind w:left="260" w:hanging="252"/>
        <w:spacing w:after="0" w:line="256" w:lineRule="auto"/>
        <w:tabs>
          <w:tab w:leader="none" w:pos="217"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1" w:lineRule="exact"/>
        <w:rPr>
          <w:rFonts w:ascii="Arial" w:cs="Arial" w:eastAsia="Arial" w:hAnsi="Arial"/>
          <w:sz w:val="18"/>
          <w:szCs w:val="18"/>
          <w:color w:val="auto"/>
        </w:rPr>
      </w:pPr>
    </w:p>
    <w:p>
      <w:pPr>
        <w:jc w:val="both"/>
        <w:ind w:left="260" w:hanging="252"/>
        <w:spacing w:after="0" w:line="256" w:lineRule="auto"/>
        <w:tabs>
          <w:tab w:leader="none" w:pos="21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740" w:hanging="246"/>
        <w:spacing w:after="0" w:line="256" w:lineRule="auto"/>
        <w:tabs>
          <w:tab w:leader="none" w:pos="734"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1" w:lineRule="exact"/>
        <w:rPr>
          <w:rFonts w:ascii="Arial" w:cs="Arial" w:eastAsia="Arial" w:hAnsi="Arial"/>
          <w:sz w:val="18"/>
          <w:szCs w:val="18"/>
          <w:color w:val="auto"/>
        </w:rPr>
      </w:pPr>
    </w:p>
    <w:p>
      <w:pPr>
        <w:jc w:val="both"/>
        <w:ind w:left="740" w:hanging="246"/>
        <w:spacing w:after="0" w:line="256" w:lineRule="auto"/>
        <w:tabs>
          <w:tab w:leader="none" w:pos="707"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740" w:hanging="246"/>
        <w:spacing w:after="0" w:line="256" w:lineRule="auto"/>
        <w:tabs>
          <w:tab w:leader="none" w:pos="697"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1" w:lineRule="exact"/>
        <w:rPr>
          <w:rFonts w:ascii="Arial" w:cs="Arial" w:eastAsia="Arial" w:hAnsi="Arial"/>
          <w:sz w:val="18"/>
          <w:szCs w:val="18"/>
          <w:color w:val="auto"/>
        </w:rPr>
      </w:pPr>
    </w:p>
    <w:p>
      <w:pPr>
        <w:jc w:val="both"/>
        <w:ind w:left="740" w:hanging="246"/>
        <w:spacing w:after="0" w:line="256" w:lineRule="auto"/>
        <w:tabs>
          <w:tab w:leader="none" w:pos="747"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firstLine="8"/>
        <w:spacing w:after="0" w:line="262" w:lineRule="auto"/>
        <w:tabs>
          <w:tab w:leader="none" w:pos="2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740" w:firstLine="240"/>
        <w:spacing w:after="0" w:line="262" w:lineRule="auto"/>
        <w:tabs>
          <w:tab w:leader="none" w:pos="1193" w:val="left"/>
        </w:tabs>
        <w:numPr>
          <w:ilvl w:val="2"/>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740" w:firstLine="240"/>
        <w:spacing w:after="0" w:line="262" w:lineRule="auto"/>
        <w:tabs>
          <w:tab w:leader="none" w:pos="1193" w:val="left"/>
        </w:tabs>
        <w:numPr>
          <w:ilvl w:val="2"/>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96" w:lineRule="exact"/>
        <w:rPr>
          <w:sz w:val="20"/>
          <w:szCs w:val="20"/>
          <w:color w:val="auto"/>
        </w:rPr>
      </w:pPr>
    </w:p>
    <w:p>
      <w:pPr>
        <w:ind w:left="260" w:hanging="252"/>
        <w:spacing w:after="0" w:line="262" w:lineRule="auto"/>
        <w:tabs>
          <w:tab w:leader="none" w:pos="3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annual report on Form 10-K for the year ended December 31, 2017, which this statement accompanies, fully complies with the requirements of Section 13(a) or 15(d) of the Securities Exchange Act of 1934; and</w:t>
      </w:r>
    </w:p>
    <w:p>
      <w:pPr>
        <w:spacing w:after="0" w:line="196" w:lineRule="exact"/>
        <w:rPr>
          <w:rFonts w:ascii="Arial" w:cs="Arial" w:eastAsia="Arial" w:hAnsi="Arial"/>
          <w:sz w:val="18"/>
          <w:szCs w:val="18"/>
          <w:color w:val="auto"/>
        </w:rPr>
      </w:pPr>
    </w:p>
    <w:p>
      <w:pPr>
        <w:ind w:left="260" w:hanging="252"/>
        <w:spacing w:after="0" w:line="262" w:lineRule="auto"/>
        <w:tabs>
          <w:tab w:leader="none" w:pos="2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of the year ended December 31, 2017,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 signed original of this written statement has been provided to Gentex Corporation and will be retained by Gentex Corporation and furnished to the Securities and Exchange Commission or its staff upon request.</w:t>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lowerLetter"/>
      <w:start w:val="1"/>
    </w:lvl>
  </w:abstractNum>
  <w:abstractNum w:abstractNumId="1">
    <w:nsid w:val="7724C67E"/>
    <w:multiLevelType w:val="hybridMultilevel"/>
    <w:lvl w:ilvl="0">
      <w:lvlJc w:val="left"/>
      <w:lvlText w:val="(%1)"/>
      <w:numFmt w:val="lowerLetter"/>
      <w:start w:val="2"/>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1)"/>
      <w:numFmt w:val="lowerLetter"/>
      <w:start w:val="4"/>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lowerLetter"/>
      <w:start w:val="1"/>
    </w:lvl>
  </w:abstractNum>
  <w:abstractNum w:abstractNumId="9">
    <w:nsid w:val="3855585C"/>
    <w:multiLevelType w:val="hybridMultilevel"/>
    <w:lvl w:ilvl="0">
      <w:lvlJc w:val="left"/>
      <w:lvlText w:val="%1"/>
      <w:numFmt w:val="lowerLetter"/>
      <w:start w:val="1"/>
    </w:lvl>
    <w:lvl w:ilvl="1">
      <w:lvlJc w:val="left"/>
      <w:lvlText w:val="(%2)"/>
      <w:numFmt w:val="lowerLetter"/>
      <w:start w:val="2"/>
    </w:lvl>
  </w:abstractNum>
  <w:abstractNum w:abstractNumId="10">
    <w:nsid w:val="70A64E2A"/>
    <w:multiLevelType w:val="hybridMultilevel"/>
    <w:lvl w:ilvl="0">
      <w:lvlJc w:val="left"/>
      <w:lvlText w:val="(%1)"/>
      <w:numFmt w:val="lowerLetter"/>
      <w:start w:val="3"/>
    </w:lvl>
    <w:lvl w:ilvl="1">
      <w:lvlJc w:val="left"/>
      <w:lvlText w:val="%2"/>
      <w:numFmt w:val="lowerLetter"/>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1)"/>
      <w:numFmt w:val="lowerLetter"/>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lowerLetter"/>
      <w:start w:val="1"/>
    </w:lvl>
    <w:lvl w:ilvl="1">
      <w:lvlJc w:val="left"/>
      <w:lvlText w:val="%2."/>
      <w:numFmt w:val="decimal"/>
      <w:start w:val="2"/>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1)"/>
      <w:numFmt w:val="decimal"/>
      <w:start w:val="2"/>
    </w:lvl>
  </w:abstractNum>
  <w:abstractNum w:abstractNumId="26">
    <w:nsid w:val="749ABB43"/>
    <w:multiLevelType w:val="hybridMultilevel"/>
    <w:lvl w:ilvl="0">
      <w:lvlJc w:val="left"/>
      <w:lvlText w:val="(%1)"/>
      <w:numFmt w:val="decimal"/>
      <w:start w:val="3"/>
    </w:lvl>
  </w:abstractNum>
  <w:abstractNum w:abstractNumId="27">
    <w:nsid w:val="3DC240FB"/>
    <w:multiLevelType w:val="hybridMultilevel"/>
    <w:lvl w:ilvl="0">
      <w:lvlJc w:val="left"/>
      <w:lvlText w:val="(%1)"/>
      <w:numFmt w:val="decimal"/>
      <w:start w:val="3"/>
    </w:lvl>
  </w:abstractNum>
  <w:abstractNum w:abstractNumId="28">
    <w:nsid w:val="1BA026FA"/>
    <w:multiLevelType w:val="hybridMultilevel"/>
    <w:lvl w:ilvl="0">
      <w:lvlJc w:val="left"/>
      <w:lvlText w:val="(%1)"/>
      <w:numFmt w:val="decimal"/>
      <w:start w:val="3"/>
    </w:lvl>
  </w:abstractNum>
  <w:abstractNum w:abstractNumId="29">
    <w:nsid w:val="79A1DEAA"/>
    <w:multiLevelType w:val="hybridMultilevel"/>
    <w:lvl w:ilvl="0">
      <w:lvlJc w:val="left"/>
      <w:lvlText w:val="(%1)"/>
      <w:numFmt w:val="decimal"/>
      <w:start w:val="4"/>
    </w:lvl>
  </w:abstractNum>
  <w:abstractNum w:abstractNumId="30">
    <w:nsid w:val="75C6C33A"/>
    <w:multiLevelType w:val="hybridMultilevel"/>
    <w:lvl w:ilvl="0">
      <w:lvlJc w:val="left"/>
      <w:lvlText w:val="(%1)"/>
      <w:numFmt w:val="decimal"/>
      <w:start w:val="5"/>
    </w:lvl>
  </w:abstractNum>
  <w:abstractNum w:abstractNumId="31">
    <w:nsid w:val="12E685FB"/>
    <w:multiLevelType w:val="hybridMultilevel"/>
    <w:lvl w:ilvl="0">
      <w:lvlJc w:val="left"/>
      <w:lvlText w:val="(%1)"/>
      <w:numFmt w:val="decimal"/>
      <w:start w:val="5"/>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3"/>
    </w:lvl>
  </w:abstractNum>
  <w:abstractNum w:abstractNumId="34">
    <w:nsid w:val="374A3FE6"/>
    <w:multiLevelType w:val="hybridMultilevel"/>
    <w:lvl w:ilvl="0">
      <w:lvlJc w:val="left"/>
      <w:lvlText w:val="(%1)"/>
      <w:numFmt w:val="decimal"/>
      <w:start w:val="5"/>
    </w:lvl>
  </w:abstractNum>
  <w:abstractNum w:abstractNumId="35">
    <w:nsid w:val="4F4EF005"/>
    <w:multiLevelType w:val="hybridMultilevel"/>
    <w:lvl w:ilvl="0">
      <w:lvlJc w:val="left"/>
      <w:lvlText w:val="(%1)"/>
      <w:numFmt w:val="decimal"/>
      <w:start w:val="5"/>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5"/>
    </w:lvl>
  </w:abstractNum>
  <w:abstractNum w:abstractNumId="38">
    <w:nsid w:val="275AC794"/>
    <w:multiLevelType w:val="hybridMultilevel"/>
    <w:lvl w:ilvl="0">
      <w:lvlJc w:val="left"/>
      <w:lvlText w:val="(%1)"/>
      <w:numFmt w:val="decimal"/>
      <w:start w:val="5"/>
    </w:lvl>
  </w:abstractNum>
  <w:abstractNum w:abstractNumId="39">
    <w:nsid w:val="39386575"/>
    <w:multiLevelType w:val="hybridMultilevel"/>
    <w:lvl w:ilvl="0">
      <w:lvlJc w:val="left"/>
      <w:lvlText w:val="(%1)"/>
      <w:numFmt w:val="decimal"/>
      <w:start w:val="9"/>
    </w:lvl>
  </w:abstractNum>
  <w:abstractNum w:abstractNumId="40">
    <w:nsid w:val="1CF10FD8"/>
    <w:multiLevelType w:val="hybridMultilevel"/>
    <w:lvl w:ilvl="0">
      <w:lvlJc w:val="left"/>
      <w:lvlText w:val="(%1)"/>
      <w:numFmt w:val="decimal"/>
      <w:start w:val="10"/>
    </w:lvl>
  </w:abstractNum>
  <w:abstractNum w:abstractNumId="41">
    <w:nsid w:val="180115BE"/>
    <w:multiLevelType w:val="hybridMultilevel"/>
    <w:lvl w:ilvl="0">
      <w:lvlJc w:val="left"/>
      <w:lvlText w:val="%1"/>
      <w:numFmt w:val="decimal"/>
      <w:start w:val="21"/>
    </w:lvl>
  </w:abstractNum>
  <w:abstractNum w:abstractNumId="42">
    <w:nsid w:val="235BA861"/>
    <w:multiLevelType w:val="hybridMultilevel"/>
    <w:lvl w:ilvl="0">
      <w:lvlJc w:val="left"/>
      <w:lvlText w:val="%1"/>
      <w:numFmt w:val="decimal"/>
      <w:start w:val="32"/>
    </w:lvl>
  </w:abstractNum>
  <w:abstractNum w:abstractNumId="43">
    <w:nsid w:val="47398C89"/>
    <w:multiLevelType w:val="hybridMultilevel"/>
    <w:lvl w:ilvl="0">
      <w:lvlJc w:val="left"/>
      <w:lvlText w:val="%1."/>
      <w:numFmt w:val="decimal"/>
      <w:start w:val="1"/>
    </w:lvl>
    <w:lvl w:ilvl="1">
      <w:lvlJc w:val="left"/>
      <w:lvlText w:val="%2."/>
      <w:numFmt w:val="lowerLetter"/>
      <w:start w:val="1"/>
    </w:lvl>
  </w:abstractNum>
  <w:abstractNum w:abstractNumId="44">
    <w:nsid w:val="354FE9F9"/>
    <w:multiLevelType w:val="hybridMultilevel"/>
    <w:lvl w:ilvl="0">
      <w:lvlJc w:val="left"/>
      <w:lvlText w:val="%1."/>
      <w:numFmt w:val="lowerLetter"/>
      <w:start w:val="1"/>
    </w:lvl>
  </w:abstractNum>
  <w:abstractNum w:abstractNumId="45">
    <w:nsid w:val="15B5AF5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46">
    <w:nsid w:val="741226BB"/>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1"/>
    </w:lvl>
  </w:abstractNum>
  <w:abstractNum w:abstractNumId="47">
    <w:nsid w:val="D34B6A8"/>
    <w:multiLevelType w:val="hybridMultilevel"/>
    <w:lvl w:ilvl="0">
      <w:lvlJc w:val="left"/>
      <w:lvlText w:val="(%1)"/>
      <w:numFmt w:val="lowerRoman"/>
      <w:start w:val="3"/>
    </w:lvl>
  </w:abstractNum>
  <w:abstractNum w:abstractNumId="48">
    <w:nsid w:val="10233C99"/>
    <w:multiLevelType w:val="hybridMultilevel"/>
    <w:lvl w:ilvl="0">
      <w:lvlJc w:val="left"/>
      <w:lvlText w:val="%1."/>
      <w:numFmt w:val="decimal"/>
      <w:start w:val="6"/>
    </w:lvl>
  </w:abstractNum>
  <w:abstractNum w:abstractNumId="49">
    <w:nsid w:val="3F6AB60F"/>
    <w:multiLevelType w:val="hybridMultilevel"/>
    <w:lvl w:ilvl="0">
      <w:lvlJc w:val="left"/>
      <w:lvlText w:val="%1."/>
      <w:numFmt w:val="decimal"/>
      <w:start w:val="1"/>
    </w:lvl>
    <w:lvl w:ilvl="1">
      <w:lvlJc w:val="left"/>
      <w:lvlText w:val="%2."/>
      <w:numFmt w:val="lowerLetter"/>
      <w:start w:val="1"/>
    </w:lvl>
  </w:abstractNum>
  <w:abstractNum w:abstractNumId="50">
    <w:nsid w:val="61574095"/>
    <w:multiLevelType w:val="hybridMultilevel"/>
    <w:lvl w:ilvl="0">
      <w:lvlJc w:val="left"/>
      <w:lvlText w:val="%1"/>
      <w:numFmt w:val="decimal"/>
      <w:start w:val="1"/>
    </w:lvl>
    <w:lvl w:ilvl="1">
      <w:lvlJc w:val="left"/>
      <w:lvlText w:val="%2."/>
      <w:numFmt w:val="lowerLetter"/>
      <w:start w:val="6"/>
    </w:lvl>
  </w:abstractNum>
  <w:abstractNum w:abstractNumId="51">
    <w:nsid w:val="7E0C57B1"/>
    <w:multiLevelType w:val="hybridMultilevel"/>
    <w:lvl w:ilvl="0">
      <w:lvlJc w:val="left"/>
      <w:lvlText w:val="%1."/>
      <w:numFmt w:val="decimal"/>
      <w:start w:val="4"/>
    </w:lvl>
    <w:lvl w:ilvl="1">
      <w:lvlJc w:val="left"/>
      <w:lvlText w:val="%2."/>
      <w:numFmt w:val="lowerLetter"/>
      <w:start w:val="1"/>
    </w:lvl>
  </w:abstractNum>
  <w:abstractNum w:abstractNumId="52">
    <w:nsid w:val="77AE35EB"/>
    <w:multiLevelType w:val="hybridMultilevel"/>
    <w:lvl w:ilvl="0">
      <w:lvlJc w:val="left"/>
      <w:lvlText w:val="%1."/>
      <w:numFmt w:val="decimal"/>
      <w:start w:val="6"/>
    </w:lvl>
  </w:abstractNum>
  <w:abstractNum w:abstractNumId="53">
    <w:nsid w:val="579BE4F1"/>
    <w:multiLevelType w:val="hybridMultilevel"/>
    <w:lvl w:ilvl="0">
      <w:lvlJc w:val="left"/>
      <w:lvlText w:val="%1."/>
      <w:numFmt w:val="decimal"/>
      <w:start w:val="12"/>
    </w:lvl>
  </w:abstractNum>
  <w:abstractNum w:abstractNumId="54">
    <w:nsid w:val="310C50B3"/>
    <w:multiLevelType w:val="hybridMultilevel"/>
    <w:lvl w:ilvl="0">
      <w:lvlJc w:val="left"/>
      <w:lvlText w:val="%1."/>
      <w:numFmt w:val="decimal"/>
      <w:start w:val="18"/>
    </w:lvl>
  </w:abstractNum>
  <w:abstractNum w:abstractNumId="55">
    <w:nsid w:val="5FF87E05"/>
    <w:multiLevelType w:val="hybridMultilevel"/>
    <w:lvl w:ilvl="0">
      <w:lvlJc w:val="left"/>
      <w:lvlText w:val="%1."/>
      <w:numFmt w:val="decimal"/>
      <w:start w:val="1"/>
    </w:lvl>
    <w:lvl w:ilvl="1">
      <w:lvlJc w:val="left"/>
      <w:lvlText w:val="(%2)"/>
      <w:numFmt w:val="lowerLetter"/>
      <w:start w:val="1"/>
    </w:lvl>
  </w:abstractNum>
  <w:abstractNum w:abstractNumId="56">
    <w:nsid w:val="2F305DEF"/>
    <w:multiLevelType w:val="hybridMultilevel"/>
    <w:lvl w:ilvl="0">
      <w:lvlJc w:val="left"/>
      <w:lvlText w:val="(%1)"/>
      <w:numFmt w:val="lowerLetter"/>
      <w:start w:val="2"/>
    </w:lvl>
  </w:abstractNum>
  <w:abstractNum w:abstractNumId="57">
    <w:nsid w:val="25A70BF7"/>
    <w:multiLevelType w:val="hybridMultilevel"/>
    <w:lvl w:ilvl="0">
      <w:lvlJc w:val="left"/>
      <w:lvlText w:val="(%1)"/>
      <w:numFmt w:val="decimal"/>
      <w:start w:val="90"/>
    </w:lvl>
    <w:lvl w:ilvl="1">
      <w:lvlJc w:val="left"/>
      <w:lvlText w:val="(%2)"/>
      <w:numFmt w:val="lowerLetter"/>
      <w:start w:val="4"/>
    </w:lvl>
    <w:lvl w:ilvl="2">
      <w:lvlJc w:val="left"/>
      <w:lvlText w:val="(%3)"/>
      <w:numFmt w:val="lowerRoman"/>
      <w:start w:val="1"/>
    </w:lvl>
  </w:abstractNum>
  <w:abstractNum w:abstractNumId="58">
    <w:nsid w:val="1DBABF00"/>
    <w:multiLevelType w:val="hybridMultilevel"/>
    <w:lvl w:ilvl="0">
      <w:lvlJc w:val="left"/>
      <w:lvlText w:val="%1."/>
      <w:numFmt w:val="decimal"/>
      <w:start w:val="4"/>
    </w:lvl>
  </w:abstractNum>
  <w:abstractNum w:abstractNumId="59">
    <w:nsid w:val="4AD084E9"/>
    <w:multiLevelType w:val="hybridMultilevel"/>
    <w:lvl w:ilvl="0">
      <w:lvlJc w:val="left"/>
      <w:lvlText w:val="%1."/>
      <w:numFmt w:val="decimal"/>
      <w:start w:val="6"/>
    </w:lvl>
  </w:abstractNum>
  <w:abstractNum w:abstractNumId="60">
    <w:nsid w:val="1F48EAA1"/>
    <w:multiLevelType w:val="hybridMultilevel"/>
    <w:lvl w:ilvl="0">
      <w:lvlJc w:val="left"/>
      <w:lvlText w:val="%1."/>
      <w:numFmt w:val="decimal"/>
      <w:start w:val="8"/>
    </w:lvl>
  </w:abstractNum>
  <w:abstractNum w:abstractNumId="61">
    <w:nsid w:val="1381823A"/>
    <w:multiLevelType w:val="hybridMultilevel"/>
    <w:lvl w:ilvl="0">
      <w:lvlJc w:val="left"/>
      <w:lvlText w:val="%1."/>
      <w:numFmt w:val="decimal"/>
      <w:start w:val="10"/>
    </w:lvl>
  </w:abstractNum>
  <w:abstractNum w:abstractNumId="62">
    <w:nsid w:val="5DB70AE5"/>
    <w:multiLevelType w:val="hybridMultilevel"/>
    <w:lvl w:ilvl="0">
      <w:lvlJc w:val="left"/>
      <w:lvlText w:val="%1."/>
      <w:numFmt w:val="upperLetter"/>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decimal"/>
      <w:start w:val="4"/>
    </w:lvl>
  </w:abstractNum>
  <w:abstractNum w:abstractNumId="65">
    <w:nsid w:val="15014ACB"/>
    <w:multiLevelType w:val="hybridMultilevel"/>
    <w:lvl w:ilvl="0">
      <w:lvlJc w:val="left"/>
      <w:lvlText w:val="%1."/>
      <w:numFmt w:val="decimal"/>
      <w:start w:val="5"/>
    </w:lvl>
    <w:lvl w:ilvl="1">
      <w:lvlJc w:val="left"/>
      <w:lvlText w:val="(%2)"/>
      <w:numFmt w:val="lowerLetter"/>
      <w:start w:val="1"/>
    </w:lvl>
  </w:abstractNum>
  <w:abstractNum w:abstractNumId="66">
    <w:nsid w:val="5F5E7FD0"/>
    <w:multiLevelType w:val="hybridMultilevel"/>
    <w:lvl w:ilvl="0">
      <w:lvlJc w:val="left"/>
      <w:lvlText w:val="%1."/>
      <w:numFmt w:val="decimal"/>
      <w:start w:val="11"/>
    </w:lvl>
  </w:abstractNum>
  <w:abstractNum w:abstractNumId="67">
    <w:nsid w:val="98A3148"/>
    <w:multiLevelType w:val="hybridMultilevel"/>
    <w:lvl w:ilvl="0">
      <w:lvlJc w:val="left"/>
      <w:lvlText w:val="%1."/>
      <w:numFmt w:val="decimal"/>
      <w:start w:val="13"/>
    </w:lvl>
  </w:abstractNum>
  <w:abstractNum w:abstractNumId="68">
    <w:nsid w:val="799D0247"/>
    <w:multiLevelType w:val="hybridMultilevel"/>
    <w:lvl w:ilvl="0">
      <w:lvlJc w:val="left"/>
      <w:lvlText w:val="%1."/>
      <w:numFmt w:val="decimal"/>
      <w:start w:val="18"/>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58" Type="http://schemas.openxmlformats.org/officeDocument/2006/relationships/image" Target="media/image30.png"/><Relationship Id="rId37" Type="http://schemas.openxmlformats.org/officeDocument/2006/relationships/hyperlink" Target="http://www.sec.gov/Archives/edgar/data/355811/000095012404005224/k88664exv3wxay.txt" TargetMode="External"/><Relationship Id="rId38" Type="http://schemas.openxmlformats.org/officeDocument/2006/relationships/hyperlink" Target="http://www.sec.gov/Archives/edgar/data/355811/000119312512242911/d356452dex31i.htm" TargetMode="External"/><Relationship Id="rId39" Type="http://schemas.openxmlformats.org/officeDocument/2006/relationships/hyperlink" Target="http://www.sec.gov/Archives/edgar/data/355811/000119312514123458/d698646ddef14a.htm" TargetMode="External"/><Relationship Id="rId40" Type="http://schemas.openxmlformats.org/officeDocument/2006/relationships/hyperlink" Target="http://www.sec.gov/Archives/edgar/data/355811/000095012403001517/k76699exv3wxbyx1y.txt" TargetMode="External"/><Relationship Id="rId41" Type="http://schemas.openxmlformats.org/officeDocument/2006/relationships/hyperlink" Target="http://www.sec.gov/Archives/edgar/data/355811/000092604412000006/gentex8k_021612bylaws.htm" TargetMode="External"/><Relationship Id="rId42" Type="http://schemas.openxmlformats.org/officeDocument/2006/relationships/hyperlink" Target="http://www.sec.gov/Archives/edgar/data/355811/000120677404000283/d14250.htm" TargetMode="External"/><Relationship Id="rId43" Type="http://schemas.openxmlformats.org/officeDocument/2006/relationships/hyperlink" Target="http://www.sec.gov/Archives/edgar/data/355811/000120677405000508/gb910053.htm" TargetMode="External"/><Relationship Id="rId44" Type="http://schemas.openxmlformats.org/officeDocument/2006/relationships/hyperlink" Target="http://www.sec.gov/Archives/edgar/data/355811/000095012405006042/k99343exv10wxbyx3y.txt" TargetMode="External"/><Relationship Id="rId45" Type="http://schemas.openxmlformats.org/officeDocument/2006/relationships/hyperlink" Target="http://www.sec.gov/Archives/edgar/data/355811/000095012401500533/k61926ex10-b2.txt" TargetMode="External"/><Relationship Id="rId46" Type="http://schemas.openxmlformats.org/officeDocument/2006/relationships/hyperlink" Target="http://www.sec.gov/Archives/edgar/data/355811/000095013408013934/k34057exv10wxbyx5y.txt" TargetMode="External"/><Relationship Id="rId47" Type="http://schemas.openxmlformats.org/officeDocument/2006/relationships/hyperlink" Target="http://www.sec.gov/Archives/edgar/data/355811/000095012404005224/k88664exv10wxbyx4y.txt" TargetMode="External"/><Relationship Id="rId48" Type="http://schemas.openxmlformats.org/officeDocument/2006/relationships/hyperlink" Target="http://www.sec.gov/Archives/edgar/data/355811/000095012402001494/k69165ex10-b4.txt" TargetMode="External"/><Relationship Id="rId49" Type="http://schemas.openxmlformats.org/officeDocument/2006/relationships/hyperlink" Target="http://www.sec.gov/Archives/edgar/data/355811/000095012404005224/k88664exv10wxbyx6y.txt" TargetMode="External"/><Relationship Id="rId50" Type="http://schemas.openxmlformats.org/officeDocument/2006/relationships/hyperlink" Target="http://www.sec.gov/Archives/edgar/data/355811/000119312512330090/d387140dex10b10.htm" TargetMode="External"/><Relationship Id="rId51" Type="http://schemas.openxmlformats.org/officeDocument/2006/relationships/hyperlink" Target="http://www.sec.gov/Archives/edgar/data/355811/000119312512330090/d387140dex10b11.htm" TargetMode="External"/><Relationship Id="rId52" Type="http://schemas.openxmlformats.org/officeDocument/2006/relationships/hyperlink" Target="http://www.sec.gov/Archives/edgar/data/355811/000095012402003308/k72384exv10wxey.txt" TargetMode="External"/><Relationship Id="rId53" Type="http://schemas.openxmlformats.org/officeDocument/2006/relationships/hyperlink" Target="http://www.sec.gov/Archives/edgar/data/355811/000119312513389308/d605768dex101.htm" TargetMode="External"/><Relationship Id="rId54" Type="http://schemas.openxmlformats.org/officeDocument/2006/relationships/hyperlink" Target="http://www.sec.gov/Archives/edgar/data/355811/000035581114000030/gntx06302014-exx103.htm" TargetMode="External"/><Relationship Id="rId55" Type="http://schemas.openxmlformats.org/officeDocument/2006/relationships/hyperlink" Target="http://www.sec.gov/Archives/edgar/data/355811/000035581114000030/gntx06302014-exx105.htm" TargetMode="External"/><Relationship Id="rId56" Type="http://schemas.openxmlformats.org/officeDocument/2006/relationships/hyperlink" Target="http://www.sec.gov/Archives/edgar/data/355811/000035581114000049/gntx09302014ex101.htm" TargetMode="External"/><Relationship Id="rId57" Type="http://schemas.openxmlformats.org/officeDocument/2006/relationships/hyperlink" Target="http://www.sec.gov/Archives/edgar/data/355811/000035581115000018/gentexproxystatement2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2019-12-29T01:36:55Z</dcterms:created>
  <dcterms:modified xsi:type="dcterms:W3CDTF">2019-12-29T01:36:55Z</dcterms:modified>
</cp:coreProperties>
</file>